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9F15F" w14:textId="77777777" w:rsidR="000432FC" w:rsidRPr="00873E09" w:rsidRDefault="00FA423D" w:rsidP="00FA423D">
      <w:pPr>
        <w:spacing w:before="100" w:beforeAutospacing="1" w:after="100" w:afterAutospacing="1" w:line="480" w:lineRule="auto"/>
        <w:jc w:val="center"/>
        <w:rPr>
          <w:rFonts w:ascii="Helvetica" w:hAnsi="Helvetica" w:cs="Helvetica"/>
          <w:sz w:val="24"/>
          <w:szCs w:val="24"/>
        </w:rPr>
      </w:pPr>
      <w:r>
        <w:rPr>
          <w:noProof/>
        </w:rPr>
        <w:drawing>
          <wp:inline distT="0" distB="0" distL="0" distR="0" wp14:anchorId="69752E77" wp14:editId="4F847BD9">
            <wp:extent cx="2725170" cy="2777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366" cy="2787080"/>
                    </a:xfrm>
                    <a:prstGeom prst="rect">
                      <a:avLst/>
                    </a:prstGeom>
                    <a:noFill/>
                  </pic:spPr>
                </pic:pic>
              </a:graphicData>
            </a:graphic>
          </wp:inline>
        </w:drawing>
      </w:r>
    </w:p>
    <w:p w14:paraId="1E3D9305" w14:textId="77777777" w:rsidR="000432FC" w:rsidRPr="00B459EC" w:rsidRDefault="000432FC" w:rsidP="000432FC">
      <w:pPr>
        <w:spacing w:before="100" w:beforeAutospacing="1" w:after="100" w:afterAutospacing="1" w:line="480" w:lineRule="auto"/>
        <w:jc w:val="center"/>
        <w:rPr>
          <w:rFonts w:ascii="Helvetica" w:hAnsi="Helvetica" w:cs="Helvetica"/>
          <w:b/>
        </w:rPr>
      </w:pPr>
    </w:p>
    <w:p w14:paraId="3B3DE190" w14:textId="3A329055" w:rsidR="000432FC" w:rsidRPr="00B459EC" w:rsidRDefault="00B459EC" w:rsidP="000432FC">
      <w:pPr>
        <w:spacing w:before="100" w:beforeAutospacing="1" w:after="100" w:afterAutospacing="1" w:line="480" w:lineRule="auto"/>
        <w:jc w:val="center"/>
        <w:rPr>
          <w:rFonts w:ascii="Helvetica" w:hAnsi="Helvetica" w:cs="Helvetica"/>
          <w:b/>
        </w:rPr>
      </w:pPr>
      <w:r w:rsidRPr="00B459EC">
        <w:rPr>
          <w:rFonts w:ascii="Helvetica" w:hAnsi="Helvetica" w:cs="Helvetica"/>
          <w:b/>
        </w:rPr>
        <w:t>MATRIX OF CHANGES</w:t>
      </w:r>
    </w:p>
    <w:p w14:paraId="5003145F" w14:textId="68DB0A71" w:rsidR="007B761E" w:rsidRPr="0065531D" w:rsidRDefault="00B459EC" w:rsidP="007B761E">
      <w:pPr>
        <w:spacing w:before="100" w:beforeAutospacing="1" w:after="100" w:afterAutospacing="1" w:line="480" w:lineRule="auto"/>
        <w:jc w:val="center"/>
        <w:rPr>
          <w:rFonts w:ascii="Helvetica" w:hAnsi="Helvetica" w:cs="Helvetica"/>
          <w:b/>
          <w:noProof/>
        </w:rPr>
      </w:pPr>
      <w:r>
        <w:rPr>
          <w:rFonts w:ascii="Helvetica" w:hAnsi="Helvetica" w:cs="Helvetica"/>
          <w:b/>
        </w:rPr>
        <w:t xml:space="preserve">DRAFT REVISED </w:t>
      </w:r>
      <w:r w:rsidR="007B761E" w:rsidRPr="0065531D">
        <w:rPr>
          <w:rFonts w:ascii="Helvetica" w:hAnsi="Helvetica" w:cs="Helvetica"/>
          <w:b/>
        </w:rPr>
        <w:t>CLOUD COMPUTING GUIDELINES F</w:t>
      </w:r>
      <w:r>
        <w:rPr>
          <w:rFonts w:ascii="Helvetica" w:hAnsi="Helvetica" w:cs="Helvetica"/>
          <w:b/>
        </w:rPr>
        <w:t>OR FINANCIAL SERVICE PROVIDERS</w:t>
      </w:r>
    </w:p>
    <w:p w14:paraId="00A87ABD" w14:textId="77777777" w:rsidR="000432FC" w:rsidRPr="00873E09" w:rsidRDefault="000432FC" w:rsidP="000432FC">
      <w:pPr>
        <w:spacing w:before="100" w:beforeAutospacing="1" w:after="100" w:afterAutospacing="1" w:line="480" w:lineRule="auto"/>
        <w:jc w:val="center"/>
        <w:rPr>
          <w:rFonts w:ascii="Helvetica" w:hAnsi="Helvetica" w:cs="Helvetica"/>
          <w:noProof/>
          <w:sz w:val="24"/>
          <w:szCs w:val="24"/>
        </w:rPr>
      </w:pPr>
    </w:p>
    <w:p w14:paraId="7AA77A5C" w14:textId="77777777" w:rsidR="00042FCE" w:rsidRDefault="00042FCE" w:rsidP="00FA423D">
      <w:pPr>
        <w:spacing w:before="100" w:beforeAutospacing="1" w:after="100" w:afterAutospacing="1" w:line="480" w:lineRule="auto"/>
        <w:rPr>
          <w:rFonts w:ascii="Helvetica" w:hAnsi="Helvetica" w:cs="Helvetica"/>
          <w:noProof/>
          <w:sz w:val="24"/>
          <w:szCs w:val="24"/>
        </w:rPr>
      </w:pPr>
    </w:p>
    <w:p w14:paraId="060E2405" w14:textId="77777777" w:rsidR="00042FCE" w:rsidRPr="00873E09" w:rsidRDefault="00042FCE" w:rsidP="000432FC">
      <w:pPr>
        <w:spacing w:before="100" w:beforeAutospacing="1" w:after="100" w:afterAutospacing="1" w:line="480" w:lineRule="auto"/>
        <w:jc w:val="center"/>
        <w:rPr>
          <w:rFonts w:ascii="Helvetica" w:hAnsi="Helvetica" w:cs="Helvetica"/>
          <w:noProof/>
          <w:sz w:val="24"/>
          <w:szCs w:val="24"/>
        </w:rPr>
      </w:pPr>
    </w:p>
    <w:p w14:paraId="67888C63" w14:textId="77777777" w:rsidR="000432FC" w:rsidRPr="00873E09" w:rsidRDefault="000432FC" w:rsidP="00042FCE">
      <w:pPr>
        <w:spacing w:before="100" w:beforeAutospacing="1" w:after="100" w:afterAutospacing="1" w:line="240" w:lineRule="auto"/>
        <w:jc w:val="center"/>
        <w:rPr>
          <w:rFonts w:ascii="Helvetica" w:hAnsi="Helvetica" w:cs="Helvetica"/>
          <w:b/>
          <w:sz w:val="24"/>
          <w:szCs w:val="24"/>
        </w:rPr>
      </w:pPr>
      <w:r w:rsidRPr="00873E09">
        <w:rPr>
          <w:rFonts w:ascii="Helvetica" w:hAnsi="Helvetica" w:cs="Helvetica"/>
          <w:b/>
          <w:sz w:val="24"/>
          <w:szCs w:val="24"/>
        </w:rPr>
        <w:t>BANK OF TANZANIA</w:t>
      </w:r>
    </w:p>
    <w:p w14:paraId="518CDB1F" w14:textId="670F5F5B" w:rsidR="00B459EC" w:rsidRPr="00873E09" w:rsidRDefault="00EB5BE0" w:rsidP="00042FCE">
      <w:pPr>
        <w:spacing w:before="100" w:beforeAutospacing="1" w:after="100" w:afterAutospacing="1" w:line="240" w:lineRule="auto"/>
        <w:jc w:val="center"/>
        <w:rPr>
          <w:rFonts w:ascii="Helvetica" w:hAnsi="Helvetica" w:cs="Helvetica"/>
          <w:b/>
          <w:sz w:val="24"/>
          <w:szCs w:val="24"/>
        </w:rPr>
        <w:sectPr w:rsidR="00B459EC" w:rsidRPr="00873E09" w:rsidSect="002C5EDD">
          <w:footerReference w:type="default" r:id="rId9"/>
          <w:footerReference w:type="first" r:id="rId10"/>
          <w:pgSz w:w="12240" w:h="15840"/>
          <w:pgMar w:top="2268" w:right="1418" w:bottom="1418" w:left="2268"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r>
        <w:rPr>
          <w:rFonts w:ascii="Helvetica" w:hAnsi="Helvetica" w:cs="Helvetica"/>
          <w:b/>
          <w:sz w:val="24"/>
          <w:szCs w:val="24"/>
        </w:rPr>
        <w:t xml:space="preserve">August </w:t>
      </w:r>
      <w:r w:rsidR="00B459EC">
        <w:rPr>
          <w:rFonts w:ascii="Helvetica" w:hAnsi="Helvetica" w:cs="Helvetica"/>
          <w:b/>
          <w:sz w:val="24"/>
          <w:szCs w:val="24"/>
        </w:rPr>
        <w:t>2025</w:t>
      </w:r>
    </w:p>
    <w:p w14:paraId="1628A4E1" w14:textId="69016C82" w:rsidR="006D2300" w:rsidRPr="006D2300" w:rsidRDefault="006D2300">
      <w:pPr>
        <w:rPr>
          <w:rFonts w:ascii="Helvetica" w:hAnsi="Helvetica" w:cs="Helvetica"/>
        </w:rPr>
      </w:pPr>
      <w:bookmarkStart w:id="0" w:name="_Toc104807735"/>
    </w:p>
    <w:p w14:paraId="3049FB05" w14:textId="77777777" w:rsidR="00042FCE" w:rsidRPr="006D2300" w:rsidRDefault="00042FCE" w:rsidP="00042FCE">
      <w:pPr>
        <w:pStyle w:val="Heading1"/>
        <w:spacing w:before="0" w:line="240" w:lineRule="auto"/>
        <w:rPr>
          <w:rFonts w:ascii="Helvetica" w:hAnsi="Helvetica" w:cs="Helvetica"/>
          <w:b/>
          <w:color w:val="auto"/>
          <w:sz w:val="24"/>
          <w:szCs w:val="24"/>
        </w:rPr>
      </w:pPr>
    </w:p>
    <w:bookmarkEnd w:id="0"/>
    <w:tbl>
      <w:tblPr>
        <w:tblStyle w:val="TableGrid"/>
        <w:tblW w:w="10686" w:type="dxa"/>
        <w:tblInd w:w="-1805" w:type="dxa"/>
        <w:tblLayout w:type="fixed"/>
        <w:tblLook w:val="04A0" w:firstRow="1" w:lastRow="0" w:firstColumn="1" w:lastColumn="0" w:noHBand="0" w:noVBand="1"/>
      </w:tblPr>
      <w:tblGrid>
        <w:gridCol w:w="540"/>
        <w:gridCol w:w="2790"/>
        <w:gridCol w:w="2790"/>
        <w:gridCol w:w="2430"/>
        <w:gridCol w:w="2136"/>
      </w:tblGrid>
      <w:tr w:rsidR="00BE42B1" w:rsidRPr="00B459EC" w14:paraId="26760FE0" w14:textId="77777777" w:rsidTr="009D06EA">
        <w:trPr>
          <w:tblHeader/>
        </w:trPr>
        <w:tc>
          <w:tcPr>
            <w:tcW w:w="540" w:type="dxa"/>
            <w:shd w:val="clear" w:color="auto" w:fill="E2EFD9" w:themeFill="accent6" w:themeFillTint="33"/>
          </w:tcPr>
          <w:p w14:paraId="4419BA76" w14:textId="77777777" w:rsidR="00BE42B1" w:rsidRPr="00B459EC" w:rsidRDefault="00BE42B1" w:rsidP="00B459EC">
            <w:pPr>
              <w:pStyle w:val="Heading1"/>
              <w:spacing w:before="0" w:line="360" w:lineRule="auto"/>
              <w:outlineLvl w:val="0"/>
              <w:rPr>
                <w:rFonts w:ascii="Helvetica" w:hAnsi="Helvetica" w:cs="Helvetica"/>
                <w:b/>
                <w:color w:val="auto"/>
                <w:sz w:val="20"/>
                <w:szCs w:val="20"/>
              </w:rPr>
            </w:pPr>
          </w:p>
        </w:tc>
        <w:tc>
          <w:tcPr>
            <w:tcW w:w="2790" w:type="dxa"/>
            <w:shd w:val="clear" w:color="auto" w:fill="E2EFD9" w:themeFill="accent6" w:themeFillTint="33"/>
          </w:tcPr>
          <w:p w14:paraId="2A1318C2"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790" w:type="dxa"/>
            <w:shd w:val="clear" w:color="auto" w:fill="E2EFD9" w:themeFill="accent6" w:themeFillTint="33"/>
          </w:tcPr>
          <w:p w14:paraId="39A9A6CA" w14:textId="22D5CB6B"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r w:rsidRPr="00B459EC">
              <w:rPr>
                <w:rFonts w:ascii="Helvetica" w:hAnsi="Helvetica" w:cs="Helvetica"/>
                <w:b/>
                <w:color w:val="000000" w:themeColor="text1"/>
                <w:sz w:val="20"/>
                <w:szCs w:val="20"/>
              </w:rPr>
              <w:t>Stakeholders Comments</w:t>
            </w:r>
          </w:p>
        </w:tc>
        <w:tc>
          <w:tcPr>
            <w:tcW w:w="2430" w:type="dxa"/>
            <w:shd w:val="clear" w:color="auto" w:fill="E2EFD9" w:themeFill="accent6" w:themeFillTint="33"/>
          </w:tcPr>
          <w:p w14:paraId="3C7064D5" w14:textId="7EE97EA4"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r w:rsidRPr="00B459EC">
              <w:rPr>
                <w:rFonts w:ascii="Helvetica" w:hAnsi="Helvetica" w:cs="Helvetica"/>
                <w:b/>
                <w:color w:val="000000" w:themeColor="text1"/>
                <w:sz w:val="20"/>
                <w:szCs w:val="20"/>
              </w:rPr>
              <w:t>Team Proposal</w:t>
            </w:r>
          </w:p>
        </w:tc>
        <w:tc>
          <w:tcPr>
            <w:tcW w:w="2136" w:type="dxa"/>
            <w:shd w:val="clear" w:color="auto" w:fill="E2EFD9" w:themeFill="accent6" w:themeFillTint="33"/>
          </w:tcPr>
          <w:p w14:paraId="3ED903DD" w14:textId="5EAC5150"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r w:rsidRPr="00B459EC">
              <w:rPr>
                <w:rFonts w:ascii="Helvetica" w:hAnsi="Helvetica" w:cs="Helvetica"/>
                <w:b/>
                <w:color w:val="000000" w:themeColor="text1"/>
                <w:sz w:val="20"/>
                <w:szCs w:val="20"/>
              </w:rPr>
              <w:t>Revised Guideline</w:t>
            </w:r>
          </w:p>
        </w:tc>
      </w:tr>
      <w:tr w:rsidR="00BC21C4" w:rsidRPr="00B459EC" w14:paraId="4CFC1A90" w14:textId="38E6E918" w:rsidTr="009D06EA">
        <w:tc>
          <w:tcPr>
            <w:tcW w:w="540" w:type="dxa"/>
          </w:tcPr>
          <w:p w14:paraId="57A75A57" w14:textId="77777777" w:rsidR="00BE42B1" w:rsidRPr="00B459EC" w:rsidRDefault="00BE42B1" w:rsidP="00B459EC">
            <w:pPr>
              <w:pStyle w:val="Heading1"/>
              <w:spacing w:before="0" w:line="360" w:lineRule="auto"/>
              <w:outlineLvl w:val="0"/>
              <w:rPr>
                <w:rFonts w:ascii="Helvetica" w:hAnsi="Helvetica" w:cs="Helvetica"/>
                <w:b/>
                <w:color w:val="auto"/>
                <w:sz w:val="20"/>
                <w:szCs w:val="20"/>
              </w:rPr>
            </w:pPr>
          </w:p>
        </w:tc>
        <w:tc>
          <w:tcPr>
            <w:tcW w:w="2790" w:type="dxa"/>
          </w:tcPr>
          <w:p w14:paraId="476A1D8A" w14:textId="67B64CA6"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bookmarkStart w:id="1" w:name="_Toc150264746"/>
            <w:r w:rsidRPr="00B459EC">
              <w:rPr>
                <w:rFonts w:ascii="Helvetica" w:hAnsi="Helvetica" w:cs="Helvetica"/>
                <w:b/>
                <w:color w:val="auto"/>
                <w:sz w:val="20"/>
                <w:szCs w:val="20"/>
              </w:rPr>
              <w:t>PART I</w:t>
            </w:r>
            <w:bookmarkEnd w:id="1"/>
            <w:r w:rsidRPr="00B459EC">
              <w:rPr>
                <w:rFonts w:ascii="Helvetica" w:hAnsi="Helvetica" w:cs="Helvetica"/>
                <w:b/>
                <w:color w:val="auto"/>
                <w:sz w:val="20"/>
                <w:szCs w:val="20"/>
              </w:rPr>
              <w:t xml:space="preserve"> </w:t>
            </w:r>
          </w:p>
        </w:tc>
        <w:tc>
          <w:tcPr>
            <w:tcW w:w="2790" w:type="dxa"/>
          </w:tcPr>
          <w:p w14:paraId="38827C46"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430" w:type="dxa"/>
          </w:tcPr>
          <w:p w14:paraId="1BB44908"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136" w:type="dxa"/>
          </w:tcPr>
          <w:p w14:paraId="0D891204"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r>
      <w:tr w:rsidR="00BC21C4" w:rsidRPr="00B459EC" w14:paraId="0A41A763" w14:textId="5E84E431" w:rsidTr="009D06EA">
        <w:tc>
          <w:tcPr>
            <w:tcW w:w="540" w:type="dxa"/>
          </w:tcPr>
          <w:p w14:paraId="50D2AACD" w14:textId="77777777" w:rsidR="00BE42B1" w:rsidRPr="00B459EC" w:rsidRDefault="00BE42B1" w:rsidP="00B459EC">
            <w:pPr>
              <w:pStyle w:val="Heading2"/>
              <w:spacing w:before="0" w:line="360" w:lineRule="auto"/>
              <w:outlineLvl w:val="1"/>
              <w:rPr>
                <w:rFonts w:ascii="Helvetica" w:hAnsi="Helvetica" w:cs="Helvetica"/>
                <w:b/>
                <w:color w:val="000000" w:themeColor="text1"/>
                <w:sz w:val="20"/>
                <w:szCs w:val="20"/>
              </w:rPr>
            </w:pPr>
          </w:p>
        </w:tc>
        <w:tc>
          <w:tcPr>
            <w:tcW w:w="2790" w:type="dxa"/>
          </w:tcPr>
          <w:p w14:paraId="7E93E192" w14:textId="4A4193DF"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bookmarkStart w:id="2" w:name="_Toc150264747"/>
            <w:r w:rsidRPr="00B459EC">
              <w:rPr>
                <w:rFonts w:ascii="Helvetica" w:hAnsi="Helvetica" w:cs="Helvetica"/>
                <w:b/>
                <w:color w:val="000000" w:themeColor="text1"/>
                <w:sz w:val="20"/>
                <w:szCs w:val="20"/>
              </w:rPr>
              <w:t>I</w:t>
            </w:r>
            <w:r w:rsidRPr="00B459EC">
              <w:rPr>
                <w:rStyle w:val="Heading2Char"/>
                <w:rFonts w:ascii="Helvetica" w:hAnsi="Helvetica" w:cs="Helvetica"/>
                <w:b/>
                <w:color w:val="000000" w:themeColor="text1"/>
                <w:sz w:val="20"/>
                <w:szCs w:val="20"/>
              </w:rPr>
              <w:t>ntroduction and Background</w:t>
            </w:r>
            <w:bookmarkEnd w:id="2"/>
          </w:p>
        </w:tc>
        <w:tc>
          <w:tcPr>
            <w:tcW w:w="2790" w:type="dxa"/>
          </w:tcPr>
          <w:p w14:paraId="20A66950" w14:textId="2996C350"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430" w:type="dxa"/>
          </w:tcPr>
          <w:p w14:paraId="520BD145" w14:textId="2C0A7E29"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136" w:type="dxa"/>
          </w:tcPr>
          <w:p w14:paraId="2B33033E" w14:textId="1869C07F"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r>
      <w:tr w:rsidR="00BC21C4" w:rsidRPr="00B459EC" w14:paraId="2900E816" w14:textId="5F103A63" w:rsidTr="009D06EA">
        <w:tc>
          <w:tcPr>
            <w:tcW w:w="540" w:type="dxa"/>
          </w:tcPr>
          <w:p w14:paraId="45E9A292" w14:textId="77777777" w:rsidR="00BE42B1" w:rsidRPr="00B459EC" w:rsidRDefault="00BE42B1" w:rsidP="00B459EC">
            <w:pPr>
              <w:spacing w:line="360" w:lineRule="auto"/>
              <w:rPr>
                <w:rFonts w:ascii="Helvetica" w:hAnsi="Helvetica" w:cs="Helvetica"/>
                <w:sz w:val="20"/>
                <w:szCs w:val="20"/>
              </w:rPr>
            </w:pPr>
          </w:p>
        </w:tc>
        <w:tc>
          <w:tcPr>
            <w:tcW w:w="2790" w:type="dxa"/>
          </w:tcPr>
          <w:p w14:paraId="13BF327F" w14:textId="3CEF5DAE"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These guidelines shall be cited as “</w:t>
            </w:r>
            <w:r w:rsidRPr="00B459EC">
              <w:rPr>
                <w:rFonts w:ascii="Helvetica" w:hAnsi="Helvetica" w:cs="Helvetica"/>
                <w:i/>
                <w:sz w:val="20"/>
                <w:szCs w:val="20"/>
              </w:rPr>
              <w:t>Cloud Computing Guidelines for Financial Service Providers, 2023</w:t>
            </w:r>
            <w:r w:rsidRPr="00B459EC">
              <w:rPr>
                <w:rFonts w:ascii="Helvetica" w:hAnsi="Helvetica" w:cs="Helvetica"/>
                <w:sz w:val="20"/>
                <w:szCs w:val="20"/>
              </w:rPr>
              <w:t>”</w:t>
            </w:r>
          </w:p>
        </w:tc>
        <w:tc>
          <w:tcPr>
            <w:tcW w:w="2790" w:type="dxa"/>
          </w:tcPr>
          <w:p w14:paraId="720AF071" w14:textId="59AB4FB0" w:rsidR="00BE42B1" w:rsidRPr="00B459EC" w:rsidRDefault="00EE2A80" w:rsidP="00B459EC">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A5DFBC6" w14:textId="77777777" w:rsidR="00BE42B1" w:rsidRPr="00B459EC" w:rsidRDefault="00BE42B1" w:rsidP="00B459EC">
            <w:pPr>
              <w:spacing w:line="360" w:lineRule="auto"/>
              <w:jc w:val="both"/>
              <w:rPr>
                <w:rFonts w:ascii="Helvetica" w:hAnsi="Helvetica" w:cs="Helvetica"/>
                <w:sz w:val="20"/>
                <w:szCs w:val="20"/>
              </w:rPr>
            </w:pPr>
          </w:p>
        </w:tc>
        <w:tc>
          <w:tcPr>
            <w:tcW w:w="2136" w:type="dxa"/>
          </w:tcPr>
          <w:p w14:paraId="0C9CD224" w14:textId="1C01F2C0" w:rsidR="00BE42B1" w:rsidRPr="00B459EC" w:rsidRDefault="00423D66" w:rsidP="00B459EC">
            <w:pPr>
              <w:spacing w:line="360" w:lineRule="auto"/>
              <w:jc w:val="both"/>
              <w:rPr>
                <w:rFonts w:ascii="Helvetica" w:hAnsi="Helvetica" w:cs="Helvetica"/>
                <w:sz w:val="20"/>
                <w:szCs w:val="20"/>
              </w:rPr>
            </w:pPr>
            <w:r w:rsidRPr="00B459EC">
              <w:rPr>
                <w:rFonts w:ascii="Helvetica" w:hAnsi="Helvetica" w:cs="Helvetica"/>
                <w:sz w:val="20"/>
                <w:szCs w:val="20"/>
              </w:rPr>
              <w:t>These guidelines shall be cited as “</w:t>
            </w:r>
            <w:r w:rsidRPr="00B459EC">
              <w:rPr>
                <w:rFonts w:ascii="Helvetica" w:hAnsi="Helvetica" w:cs="Helvetica"/>
                <w:i/>
                <w:sz w:val="20"/>
                <w:szCs w:val="20"/>
              </w:rPr>
              <w:t>Cloud Computing Guidelines for Financial Service Providers, 2025</w:t>
            </w:r>
            <w:r w:rsidRPr="00B459EC">
              <w:rPr>
                <w:rFonts w:ascii="Helvetica" w:hAnsi="Helvetica" w:cs="Helvetica"/>
                <w:sz w:val="20"/>
                <w:szCs w:val="20"/>
              </w:rPr>
              <w:t>”</w:t>
            </w:r>
          </w:p>
        </w:tc>
      </w:tr>
      <w:tr w:rsidR="00EE2A80" w:rsidRPr="00B459EC" w14:paraId="49446489" w14:textId="77367150" w:rsidTr="009D06EA">
        <w:tc>
          <w:tcPr>
            <w:tcW w:w="540" w:type="dxa"/>
          </w:tcPr>
          <w:p w14:paraId="5AEB8A82" w14:textId="77777777" w:rsidR="00EE2A80" w:rsidRPr="00B459EC" w:rsidRDefault="00EE2A80" w:rsidP="00EE2A80">
            <w:pPr>
              <w:spacing w:line="360" w:lineRule="auto"/>
              <w:rPr>
                <w:rFonts w:ascii="Helvetica" w:hAnsi="Helvetica" w:cs="Helvetica"/>
                <w:sz w:val="20"/>
                <w:szCs w:val="20"/>
              </w:rPr>
            </w:pPr>
          </w:p>
        </w:tc>
        <w:tc>
          <w:tcPr>
            <w:tcW w:w="2790" w:type="dxa"/>
          </w:tcPr>
          <w:p w14:paraId="22D46571" w14:textId="2F0E8405" w:rsidR="00EE2A80" w:rsidRPr="00B459EC" w:rsidRDefault="00EE2A80" w:rsidP="00EE2A80">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These Guidelines are issued under Section 71 of </w:t>
            </w:r>
            <w:r w:rsidRPr="00B459EC">
              <w:rPr>
                <w:rFonts w:ascii="Helvetica" w:hAnsi="Helvetica" w:cs="Helvetica"/>
                <w:i/>
                <w:sz w:val="20"/>
                <w:szCs w:val="20"/>
              </w:rPr>
              <w:t>the Banking and Financial Institutions Act, 2006</w:t>
            </w:r>
            <w:r w:rsidRPr="00B459EC">
              <w:rPr>
                <w:rFonts w:ascii="Helvetica" w:hAnsi="Helvetica" w:cs="Helvetica"/>
                <w:sz w:val="20"/>
                <w:szCs w:val="20"/>
              </w:rPr>
              <w:t xml:space="preserve"> and section 56(3) of the National Payment Systems Act, 2015.</w:t>
            </w:r>
          </w:p>
        </w:tc>
        <w:tc>
          <w:tcPr>
            <w:tcW w:w="2790" w:type="dxa"/>
          </w:tcPr>
          <w:p w14:paraId="131BAF24" w14:textId="65F67DB7" w:rsidR="00EE2A80" w:rsidRPr="00B459EC" w:rsidRDefault="00EE2A80" w:rsidP="00EE2A80">
            <w:pPr>
              <w:spacing w:line="360" w:lineRule="auto"/>
              <w:jc w:val="both"/>
              <w:rPr>
                <w:rFonts w:ascii="Helvetica" w:hAnsi="Helvetica" w:cs="Helvetica"/>
                <w:sz w:val="20"/>
                <w:szCs w:val="20"/>
              </w:rPr>
            </w:pPr>
            <w:r w:rsidRPr="00442B46">
              <w:rPr>
                <w:rFonts w:ascii="Helvetica" w:hAnsi="Helvetica" w:cs="Helvetica"/>
                <w:sz w:val="20"/>
                <w:szCs w:val="20"/>
              </w:rPr>
              <w:t>None</w:t>
            </w:r>
          </w:p>
        </w:tc>
        <w:tc>
          <w:tcPr>
            <w:tcW w:w="2430" w:type="dxa"/>
          </w:tcPr>
          <w:p w14:paraId="08E0485D" w14:textId="77777777" w:rsidR="00EE2A80" w:rsidRPr="00B459EC" w:rsidRDefault="00EE2A80" w:rsidP="00EE2A80">
            <w:pPr>
              <w:spacing w:line="360" w:lineRule="auto"/>
              <w:jc w:val="both"/>
              <w:rPr>
                <w:rFonts w:ascii="Helvetica" w:hAnsi="Helvetica" w:cs="Helvetica"/>
                <w:sz w:val="20"/>
                <w:szCs w:val="20"/>
              </w:rPr>
            </w:pPr>
          </w:p>
        </w:tc>
        <w:tc>
          <w:tcPr>
            <w:tcW w:w="2136" w:type="dxa"/>
          </w:tcPr>
          <w:p w14:paraId="7EA5F9C7" w14:textId="77777777" w:rsidR="00EE2A80" w:rsidRPr="00B459EC" w:rsidRDefault="00EE2A80" w:rsidP="00EE2A80">
            <w:pPr>
              <w:spacing w:line="360" w:lineRule="auto"/>
              <w:jc w:val="both"/>
              <w:rPr>
                <w:rFonts w:ascii="Helvetica" w:hAnsi="Helvetica" w:cs="Helvetica"/>
                <w:sz w:val="20"/>
                <w:szCs w:val="20"/>
              </w:rPr>
            </w:pPr>
          </w:p>
        </w:tc>
      </w:tr>
      <w:tr w:rsidR="00EE2A80" w:rsidRPr="00B459EC" w14:paraId="0B4DB20E" w14:textId="406C40E7" w:rsidTr="009D06EA">
        <w:tc>
          <w:tcPr>
            <w:tcW w:w="540" w:type="dxa"/>
          </w:tcPr>
          <w:p w14:paraId="01266E60" w14:textId="77777777" w:rsidR="00EE2A80" w:rsidRPr="00B459EC" w:rsidRDefault="00EE2A80" w:rsidP="00EE2A80">
            <w:pPr>
              <w:spacing w:line="360" w:lineRule="auto"/>
              <w:rPr>
                <w:rFonts w:ascii="Helvetica" w:hAnsi="Helvetica" w:cs="Helvetica"/>
                <w:sz w:val="20"/>
                <w:szCs w:val="20"/>
              </w:rPr>
            </w:pPr>
          </w:p>
        </w:tc>
        <w:tc>
          <w:tcPr>
            <w:tcW w:w="2790" w:type="dxa"/>
          </w:tcPr>
          <w:p w14:paraId="5FD1B65B" w14:textId="192D7D23" w:rsidR="00EE2A80" w:rsidRPr="00B459EC" w:rsidRDefault="00EE2A80" w:rsidP="00EE2A80">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These guidelines shall be applied in evaluating applications from financial service providers intending to adopt cloud computing solutions.</w:t>
            </w:r>
          </w:p>
        </w:tc>
        <w:tc>
          <w:tcPr>
            <w:tcW w:w="2790" w:type="dxa"/>
          </w:tcPr>
          <w:p w14:paraId="214B62BC" w14:textId="0C7D956C" w:rsidR="00EE2A80" w:rsidRPr="00B459EC" w:rsidRDefault="00EE2A80" w:rsidP="00EE2A80">
            <w:pPr>
              <w:spacing w:line="360" w:lineRule="auto"/>
              <w:jc w:val="both"/>
              <w:rPr>
                <w:rFonts w:ascii="Helvetica" w:hAnsi="Helvetica" w:cs="Helvetica"/>
                <w:sz w:val="20"/>
                <w:szCs w:val="20"/>
              </w:rPr>
            </w:pPr>
            <w:r w:rsidRPr="00442B46">
              <w:rPr>
                <w:rFonts w:ascii="Helvetica" w:hAnsi="Helvetica" w:cs="Helvetica"/>
                <w:sz w:val="20"/>
                <w:szCs w:val="20"/>
              </w:rPr>
              <w:t>None</w:t>
            </w:r>
          </w:p>
        </w:tc>
        <w:tc>
          <w:tcPr>
            <w:tcW w:w="2430" w:type="dxa"/>
          </w:tcPr>
          <w:p w14:paraId="2C539C39" w14:textId="77777777" w:rsidR="00EE2A80" w:rsidRPr="00B459EC" w:rsidRDefault="00EE2A80" w:rsidP="00EE2A80">
            <w:pPr>
              <w:spacing w:line="360" w:lineRule="auto"/>
              <w:jc w:val="both"/>
              <w:rPr>
                <w:rFonts w:ascii="Helvetica" w:hAnsi="Helvetica" w:cs="Helvetica"/>
                <w:sz w:val="20"/>
                <w:szCs w:val="20"/>
              </w:rPr>
            </w:pPr>
          </w:p>
        </w:tc>
        <w:tc>
          <w:tcPr>
            <w:tcW w:w="2136" w:type="dxa"/>
          </w:tcPr>
          <w:p w14:paraId="1402B044" w14:textId="77777777" w:rsidR="00EE2A80" w:rsidRPr="00B459EC" w:rsidRDefault="00EE2A80" w:rsidP="00EE2A80">
            <w:pPr>
              <w:spacing w:line="360" w:lineRule="auto"/>
              <w:jc w:val="both"/>
              <w:rPr>
                <w:rFonts w:ascii="Helvetica" w:hAnsi="Helvetica" w:cs="Helvetica"/>
                <w:sz w:val="20"/>
                <w:szCs w:val="20"/>
              </w:rPr>
            </w:pPr>
          </w:p>
        </w:tc>
      </w:tr>
      <w:tr w:rsidR="00EE2A80" w:rsidRPr="00B459EC" w14:paraId="2BB6C9AD" w14:textId="4630EC15" w:rsidTr="009D06EA">
        <w:tc>
          <w:tcPr>
            <w:tcW w:w="540" w:type="dxa"/>
          </w:tcPr>
          <w:p w14:paraId="533E375B" w14:textId="77777777" w:rsidR="00EE2A80" w:rsidRPr="00B459EC" w:rsidRDefault="00EE2A80" w:rsidP="00EE2A80">
            <w:pPr>
              <w:tabs>
                <w:tab w:val="left" w:pos="191"/>
              </w:tabs>
              <w:spacing w:line="360" w:lineRule="auto"/>
              <w:rPr>
                <w:rFonts w:ascii="Helvetica" w:hAnsi="Helvetica" w:cs="Helvetica"/>
                <w:sz w:val="20"/>
                <w:szCs w:val="20"/>
              </w:rPr>
            </w:pPr>
          </w:p>
        </w:tc>
        <w:tc>
          <w:tcPr>
            <w:tcW w:w="2790" w:type="dxa"/>
          </w:tcPr>
          <w:p w14:paraId="3EB47344" w14:textId="3A65175E" w:rsidR="00EE2A80" w:rsidRPr="00B459EC" w:rsidRDefault="00EE2A80" w:rsidP="00EE2A80">
            <w:pPr>
              <w:pStyle w:val="ListParagraph"/>
              <w:numPr>
                <w:ilvl w:val="0"/>
                <w:numId w:val="37"/>
              </w:numPr>
              <w:tabs>
                <w:tab w:val="left" w:pos="191"/>
              </w:tabs>
              <w:spacing w:line="360" w:lineRule="auto"/>
              <w:ind w:left="357" w:hanging="357"/>
              <w:contextualSpacing w:val="0"/>
              <w:rPr>
                <w:rFonts w:ascii="Helvetica" w:hAnsi="Helvetica" w:cs="Helvetica"/>
                <w:sz w:val="20"/>
                <w:szCs w:val="20"/>
              </w:rPr>
            </w:pPr>
            <w:r w:rsidRPr="00B459EC">
              <w:rPr>
                <w:rFonts w:ascii="Helvetica" w:hAnsi="Helvetica" w:cs="Helvetica"/>
                <w:sz w:val="20"/>
                <w:szCs w:val="20"/>
              </w:rPr>
              <w:t>In these Guidelines, unless the context otherwise requires:</w:t>
            </w:r>
          </w:p>
        </w:tc>
        <w:tc>
          <w:tcPr>
            <w:tcW w:w="2790" w:type="dxa"/>
          </w:tcPr>
          <w:p w14:paraId="779E24F2" w14:textId="3E157EFC" w:rsidR="00EE2A80" w:rsidRPr="00B459EC" w:rsidRDefault="00EE2A80" w:rsidP="00EE2A80">
            <w:pPr>
              <w:tabs>
                <w:tab w:val="left" w:pos="191"/>
              </w:tabs>
              <w:spacing w:line="360" w:lineRule="auto"/>
              <w:rPr>
                <w:rFonts w:ascii="Helvetica" w:hAnsi="Helvetica" w:cs="Helvetica"/>
                <w:sz w:val="20"/>
                <w:szCs w:val="20"/>
              </w:rPr>
            </w:pPr>
            <w:r w:rsidRPr="00442B46">
              <w:rPr>
                <w:rFonts w:ascii="Helvetica" w:hAnsi="Helvetica" w:cs="Helvetica"/>
                <w:sz w:val="20"/>
                <w:szCs w:val="20"/>
              </w:rPr>
              <w:t>None</w:t>
            </w:r>
          </w:p>
        </w:tc>
        <w:tc>
          <w:tcPr>
            <w:tcW w:w="2430" w:type="dxa"/>
          </w:tcPr>
          <w:p w14:paraId="09A65713" w14:textId="77777777" w:rsidR="00EE2A80" w:rsidRPr="00B459EC" w:rsidRDefault="00EE2A80" w:rsidP="00EE2A80">
            <w:pPr>
              <w:tabs>
                <w:tab w:val="left" w:pos="191"/>
              </w:tabs>
              <w:spacing w:line="360" w:lineRule="auto"/>
              <w:rPr>
                <w:rFonts w:ascii="Helvetica" w:hAnsi="Helvetica" w:cs="Helvetica"/>
                <w:sz w:val="20"/>
                <w:szCs w:val="20"/>
              </w:rPr>
            </w:pPr>
          </w:p>
        </w:tc>
        <w:tc>
          <w:tcPr>
            <w:tcW w:w="2136" w:type="dxa"/>
          </w:tcPr>
          <w:p w14:paraId="5DDDB120" w14:textId="77777777" w:rsidR="00EE2A80" w:rsidRPr="00B459EC" w:rsidRDefault="00EE2A80" w:rsidP="00EE2A80">
            <w:pPr>
              <w:tabs>
                <w:tab w:val="left" w:pos="191"/>
              </w:tabs>
              <w:spacing w:line="360" w:lineRule="auto"/>
              <w:rPr>
                <w:rFonts w:ascii="Helvetica" w:hAnsi="Helvetica" w:cs="Helvetica"/>
                <w:sz w:val="20"/>
                <w:szCs w:val="20"/>
              </w:rPr>
            </w:pPr>
          </w:p>
        </w:tc>
      </w:tr>
      <w:tr w:rsidR="00EE2A80" w:rsidRPr="00B459EC" w14:paraId="73E6437D" w14:textId="1CE10E1D" w:rsidTr="009D06EA">
        <w:tc>
          <w:tcPr>
            <w:tcW w:w="540" w:type="dxa"/>
          </w:tcPr>
          <w:p w14:paraId="3884A361" w14:textId="77777777" w:rsidR="00EE2A80" w:rsidRPr="00B459EC" w:rsidRDefault="00EE2A80" w:rsidP="00EE2A80">
            <w:pPr>
              <w:pStyle w:val="ListParagraph"/>
              <w:spacing w:line="360" w:lineRule="auto"/>
              <w:ind w:left="0"/>
              <w:contextualSpacing w:val="0"/>
              <w:rPr>
                <w:rFonts w:ascii="Helvetica" w:hAnsi="Helvetica" w:cs="Helvetica"/>
                <w:sz w:val="20"/>
                <w:szCs w:val="20"/>
              </w:rPr>
            </w:pPr>
          </w:p>
        </w:tc>
        <w:tc>
          <w:tcPr>
            <w:tcW w:w="2790" w:type="dxa"/>
          </w:tcPr>
          <w:p w14:paraId="1E63C0C0" w14:textId="14DE8AEF" w:rsidR="00EE2A80" w:rsidRPr="00B459EC" w:rsidRDefault="00EE2A80" w:rsidP="00EE2A80">
            <w:pPr>
              <w:pStyle w:val="ListParagraph"/>
              <w:spacing w:line="360" w:lineRule="auto"/>
              <w:ind w:left="0"/>
              <w:contextualSpacing w:val="0"/>
              <w:jc w:val="both"/>
              <w:rPr>
                <w:rFonts w:ascii="Helvetica" w:hAnsi="Helvetica" w:cs="Helvetica"/>
                <w:sz w:val="20"/>
                <w:szCs w:val="20"/>
              </w:rPr>
            </w:pPr>
            <w:r w:rsidRPr="00B459EC">
              <w:rPr>
                <w:rFonts w:ascii="Helvetica" w:hAnsi="Helvetica" w:cs="Helvetica"/>
                <w:sz w:val="20"/>
                <w:szCs w:val="20"/>
              </w:rPr>
              <w:t>“Bank” means the Bank of Tanzania;</w:t>
            </w:r>
          </w:p>
        </w:tc>
        <w:tc>
          <w:tcPr>
            <w:tcW w:w="2790" w:type="dxa"/>
          </w:tcPr>
          <w:p w14:paraId="5431E431" w14:textId="720CB5F3" w:rsidR="00EE2A80" w:rsidRPr="00B459EC" w:rsidRDefault="00EE2A80" w:rsidP="00EE2A80">
            <w:pPr>
              <w:pStyle w:val="ListParagraph"/>
              <w:spacing w:line="360" w:lineRule="auto"/>
              <w:ind w:left="0"/>
              <w:contextualSpacing w:val="0"/>
              <w:jc w:val="both"/>
              <w:rPr>
                <w:rFonts w:ascii="Helvetica" w:hAnsi="Helvetica" w:cs="Helvetica"/>
                <w:sz w:val="20"/>
                <w:szCs w:val="20"/>
              </w:rPr>
            </w:pPr>
            <w:r w:rsidRPr="00442B46">
              <w:rPr>
                <w:rFonts w:ascii="Helvetica" w:hAnsi="Helvetica" w:cs="Helvetica"/>
                <w:sz w:val="20"/>
                <w:szCs w:val="20"/>
              </w:rPr>
              <w:t>None</w:t>
            </w:r>
          </w:p>
        </w:tc>
        <w:tc>
          <w:tcPr>
            <w:tcW w:w="2430" w:type="dxa"/>
          </w:tcPr>
          <w:p w14:paraId="0AC465D0" w14:textId="77777777" w:rsidR="00EE2A80" w:rsidRPr="00B459EC" w:rsidRDefault="00EE2A80" w:rsidP="00EE2A80">
            <w:pPr>
              <w:pStyle w:val="ListParagraph"/>
              <w:spacing w:line="360" w:lineRule="auto"/>
              <w:ind w:left="0"/>
              <w:contextualSpacing w:val="0"/>
              <w:jc w:val="both"/>
              <w:rPr>
                <w:rFonts w:ascii="Helvetica" w:hAnsi="Helvetica" w:cs="Helvetica"/>
                <w:sz w:val="20"/>
                <w:szCs w:val="20"/>
              </w:rPr>
            </w:pPr>
          </w:p>
        </w:tc>
        <w:tc>
          <w:tcPr>
            <w:tcW w:w="2136" w:type="dxa"/>
          </w:tcPr>
          <w:p w14:paraId="00E7412F" w14:textId="77777777" w:rsidR="00EE2A80" w:rsidRPr="00B459EC" w:rsidRDefault="00EE2A80" w:rsidP="00EE2A80">
            <w:pPr>
              <w:pStyle w:val="ListParagraph"/>
              <w:spacing w:line="360" w:lineRule="auto"/>
              <w:ind w:left="0"/>
              <w:contextualSpacing w:val="0"/>
              <w:jc w:val="both"/>
              <w:rPr>
                <w:rFonts w:ascii="Helvetica" w:hAnsi="Helvetica" w:cs="Helvetica"/>
                <w:sz w:val="20"/>
                <w:szCs w:val="20"/>
              </w:rPr>
            </w:pPr>
          </w:p>
        </w:tc>
      </w:tr>
      <w:tr w:rsidR="00EE2A80" w:rsidRPr="00B459EC" w14:paraId="25CBF883" w14:textId="42BC68F6" w:rsidTr="009D06EA">
        <w:tc>
          <w:tcPr>
            <w:tcW w:w="540" w:type="dxa"/>
          </w:tcPr>
          <w:p w14:paraId="6C7AD698" w14:textId="77777777" w:rsidR="00EE2A80" w:rsidRPr="00B459EC" w:rsidRDefault="00EE2A80" w:rsidP="00EE2A80">
            <w:pPr>
              <w:pStyle w:val="ListParagraph"/>
              <w:spacing w:line="360" w:lineRule="auto"/>
              <w:ind w:left="0"/>
              <w:contextualSpacing w:val="0"/>
              <w:rPr>
                <w:rFonts w:ascii="Helvetica" w:hAnsi="Helvetica" w:cs="Helvetica"/>
                <w:sz w:val="20"/>
                <w:szCs w:val="20"/>
              </w:rPr>
            </w:pPr>
          </w:p>
        </w:tc>
        <w:tc>
          <w:tcPr>
            <w:tcW w:w="2790" w:type="dxa"/>
          </w:tcPr>
          <w:p w14:paraId="63B80606" w14:textId="537C8EB0" w:rsidR="00EE2A80" w:rsidRPr="00B459EC" w:rsidRDefault="00EE2A80" w:rsidP="00EE2A80">
            <w:pPr>
              <w:pStyle w:val="ListParagraph"/>
              <w:spacing w:line="360" w:lineRule="auto"/>
              <w:ind w:left="0"/>
              <w:contextualSpacing w:val="0"/>
              <w:jc w:val="both"/>
              <w:rPr>
                <w:rFonts w:ascii="Helvetica" w:hAnsi="Helvetica" w:cs="Helvetica"/>
                <w:sz w:val="20"/>
                <w:szCs w:val="20"/>
              </w:rPr>
            </w:pPr>
            <w:r w:rsidRPr="00B459EC">
              <w:rPr>
                <w:rFonts w:ascii="Helvetica" w:hAnsi="Helvetica" w:cs="Helvetica"/>
                <w:sz w:val="20"/>
                <w:szCs w:val="20"/>
              </w:rPr>
              <w:t xml:space="preserve">“Financial service provider” means an institution </w:t>
            </w:r>
            <w:r w:rsidRPr="00B459EC">
              <w:rPr>
                <w:rFonts w:ascii="Helvetica" w:hAnsi="Helvetica" w:cs="Helvetica"/>
                <w:sz w:val="20"/>
                <w:szCs w:val="20"/>
              </w:rPr>
              <w:lastRenderedPageBreak/>
              <w:t>licensed, regulated, and supervised by the Bank.</w:t>
            </w:r>
          </w:p>
        </w:tc>
        <w:tc>
          <w:tcPr>
            <w:tcW w:w="2790" w:type="dxa"/>
          </w:tcPr>
          <w:p w14:paraId="00A82F12" w14:textId="25FA4FA4" w:rsidR="00EE2A80" w:rsidRPr="00B459EC" w:rsidRDefault="00EE2A80" w:rsidP="00EE2A80">
            <w:pPr>
              <w:pStyle w:val="ListParagraph"/>
              <w:spacing w:line="360" w:lineRule="auto"/>
              <w:ind w:left="0"/>
              <w:contextualSpacing w:val="0"/>
              <w:jc w:val="both"/>
              <w:rPr>
                <w:rFonts w:ascii="Helvetica" w:hAnsi="Helvetica" w:cs="Helvetica"/>
                <w:sz w:val="20"/>
                <w:szCs w:val="20"/>
              </w:rPr>
            </w:pPr>
            <w:r w:rsidRPr="00442B46">
              <w:rPr>
                <w:rFonts w:ascii="Helvetica" w:hAnsi="Helvetica" w:cs="Helvetica"/>
                <w:sz w:val="20"/>
                <w:szCs w:val="20"/>
              </w:rPr>
              <w:lastRenderedPageBreak/>
              <w:t>None</w:t>
            </w:r>
          </w:p>
        </w:tc>
        <w:tc>
          <w:tcPr>
            <w:tcW w:w="2430" w:type="dxa"/>
          </w:tcPr>
          <w:p w14:paraId="4B8639AD" w14:textId="77777777" w:rsidR="00EE2A80" w:rsidRPr="00B459EC" w:rsidRDefault="00EE2A80" w:rsidP="00EE2A80">
            <w:pPr>
              <w:pStyle w:val="ListParagraph"/>
              <w:spacing w:line="360" w:lineRule="auto"/>
              <w:ind w:left="0"/>
              <w:contextualSpacing w:val="0"/>
              <w:jc w:val="both"/>
              <w:rPr>
                <w:rFonts w:ascii="Helvetica" w:hAnsi="Helvetica" w:cs="Helvetica"/>
                <w:sz w:val="20"/>
                <w:szCs w:val="20"/>
              </w:rPr>
            </w:pPr>
          </w:p>
        </w:tc>
        <w:tc>
          <w:tcPr>
            <w:tcW w:w="2136" w:type="dxa"/>
          </w:tcPr>
          <w:p w14:paraId="51138ABF" w14:textId="77777777" w:rsidR="00EE2A80" w:rsidRPr="00B459EC" w:rsidRDefault="00EE2A80" w:rsidP="00EE2A80">
            <w:pPr>
              <w:pStyle w:val="ListParagraph"/>
              <w:spacing w:line="360" w:lineRule="auto"/>
              <w:ind w:left="0"/>
              <w:contextualSpacing w:val="0"/>
              <w:jc w:val="both"/>
              <w:rPr>
                <w:rFonts w:ascii="Helvetica" w:hAnsi="Helvetica" w:cs="Helvetica"/>
                <w:sz w:val="20"/>
                <w:szCs w:val="20"/>
              </w:rPr>
            </w:pPr>
          </w:p>
        </w:tc>
      </w:tr>
      <w:tr w:rsidR="00BC21C4" w:rsidRPr="00B459EC" w14:paraId="0EE9087F" w14:textId="75BE9D78" w:rsidTr="009D06EA">
        <w:tc>
          <w:tcPr>
            <w:tcW w:w="540" w:type="dxa"/>
          </w:tcPr>
          <w:p w14:paraId="49283F3F" w14:textId="77777777" w:rsidR="00BE42B1" w:rsidRPr="00B459EC" w:rsidRDefault="00BE42B1" w:rsidP="00B459EC">
            <w:pPr>
              <w:spacing w:line="360" w:lineRule="auto"/>
              <w:rPr>
                <w:rFonts w:ascii="Helvetica" w:hAnsi="Helvetica" w:cs="Helvetica"/>
                <w:sz w:val="20"/>
                <w:szCs w:val="20"/>
              </w:rPr>
            </w:pPr>
          </w:p>
        </w:tc>
        <w:tc>
          <w:tcPr>
            <w:tcW w:w="2790" w:type="dxa"/>
          </w:tcPr>
          <w:p w14:paraId="1D097563" w14:textId="3F876B32" w:rsidR="00BE42B1" w:rsidRPr="00B459EC" w:rsidRDefault="00BE42B1" w:rsidP="00B459EC">
            <w:pPr>
              <w:pStyle w:val="ListParagraph"/>
              <w:numPr>
                <w:ilvl w:val="0"/>
                <w:numId w:val="37"/>
              </w:numPr>
              <w:spacing w:line="360" w:lineRule="auto"/>
              <w:ind w:left="357" w:hanging="357"/>
              <w:contextualSpacing w:val="0"/>
              <w:jc w:val="both"/>
              <w:rPr>
                <w:rFonts w:ascii="Helvetica" w:hAnsi="Helvetica" w:cs="Helvetica"/>
                <w:sz w:val="20"/>
                <w:szCs w:val="20"/>
              </w:rPr>
            </w:pPr>
            <w:r w:rsidRPr="00B459EC">
              <w:rPr>
                <w:rFonts w:ascii="Helvetica" w:hAnsi="Helvetica" w:cs="Helvetica"/>
                <w:sz w:val="20"/>
                <w:szCs w:val="20"/>
              </w:rPr>
              <w:t>Cloud computing allows an Institution to outsource IT systems that can be accessed via the internet, rather than hosting its own IT systems by lump sum investment in databases, software, and hardware. Further, Cloud computing is the practice of using a network of remote servers hosted on the internet by a third party to store, manage, and process data, rather than a local server in the institution or a personal computer.</w:t>
            </w:r>
          </w:p>
        </w:tc>
        <w:tc>
          <w:tcPr>
            <w:tcW w:w="2790" w:type="dxa"/>
          </w:tcPr>
          <w:p w14:paraId="7550653D" w14:textId="657F7E14" w:rsidR="00BE42B1" w:rsidRPr="00B459EC" w:rsidRDefault="00EE2A80" w:rsidP="00B459EC">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231657C3" w14:textId="77777777" w:rsidR="00BE42B1" w:rsidRPr="00B459EC" w:rsidRDefault="00BE42B1" w:rsidP="00B459EC">
            <w:pPr>
              <w:spacing w:line="360" w:lineRule="auto"/>
              <w:jc w:val="both"/>
              <w:rPr>
                <w:rFonts w:ascii="Helvetica" w:hAnsi="Helvetica" w:cs="Helvetica"/>
                <w:sz w:val="20"/>
                <w:szCs w:val="20"/>
              </w:rPr>
            </w:pPr>
          </w:p>
        </w:tc>
        <w:tc>
          <w:tcPr>
            <w:tcW w:w="2136" w:type="dxa"/>
          </w:tcPr>
          <w:p w14:paraId="2CAC0DDD" w14:textId="77777777" w:rsidR="00BE42B1" w:rsidRPr="00B459EC" w:rsidRDefault="00BE42B1" w:rsidP="00B459EC">
            <w:pPr>
              <w:spacing w:line="360" w:lineRule="auto"/>
              <w:jc w:val="both"/>
              <w:rPr>
                <w:rFonts w:ascii="Helvetica" w:hAnsi="Helvetica" w:cs="Helvetica"/>
                <w:sz w:val="20"/>
                <w:szCs w:val="20"/>
              </w:rPr>
            </w:pPr>
          </w:p>
        </w:tc>
      </w:tr>
      <w:tr w:rsidR="00BC21C4" w:rsidRPr="00B459EC" w14:paraId="63AB6B70" w14:textId="5F9CA822" w:rsidTr="009D06EA">
        <w:tc>
          <w:tcPr>
            <w:tcW w:w="540" w:type="dxa"/>
          </w:tcPr>
          <w:p w14:paraId="6803F9A1" w14:textId="77777777" w:rsidR="00BE42B1" w:rsidRPr="00B459EC" w:rsidRDefault="00BE42B1" w:rsidP="00B459EC">
            <w:pPr>
              <w:spacing w:line="360" w:lineRule="auto"/>
              <w:rPr>
                <w:rFonts w:ascii="Helvetica" w:hAnsi="Helvetica" w:cs="Helvetica"/>
                <w:sz w:val="20"/>
                <w:szCs w:val="20"/>
              </w:rPr>
            </w:pPr>
          </w:p>
        </w:tc>
        <w:tc>
          <w:tcPr>
            <w:tcW w:w="2790" w:type="dxa"/>
          </w:tcPr>
          <w:p w14:paraId="1CF7A616" w14:textId="280F24D0" w:rsidR="00BE42B1" w:rsidRPr="00B459EC" w:rsidRDefault="00BE42B1" w:rsidP="00B459EC">
            <w:pPr>
              <w:pStyle w:val="ListParagraph"/>
              <w:numPr>
                <w:ilvl w:val="0"/>
                <w:numId w:val="37"/>
              </w:numPr>
              <w:spacing w:line="360" w:lineRule="auto"/>
              <w:ind w:left="357" w:hanging="357"/>
              <w:contextualSpacing w:val="0"/>
              <w:jc w:val="both"/>
              <w:rPr>
                <w:rFonts w:ascii="Helvetica" w:hAnsi="Helvetica" w:cs="Helvetica"/>
                <w:sz w:val="20"/>
                <w:szCs w:val="20"/>
              </w:rPr>
            </w:pPr>
            <w:r w:rsidRPr="00B459EC">
              <w:rPr>
                <w:rFonts w:ascii="Helvetica" w:hAnsi="Helvetica" w:cs="Helvetica"/>
                <w:sz w:val="20"/>
                <w:szCs w:val="20"/>
              </w:rPr>
              <w:t xml:space="preserve">Cloud Services are normally offered by third parties and can be made available for public use (Public Cloud), limited use (Private Cloud) or a combination of the two (Hybrid). Regardless of the type of Cloud hosting option adopted, the requests from a Financial Service Provider intending to adopt a </w:t>
            </w:r>
            <w:r w:rsidRPr="00B459EC">
              <w:rPr>
                <w:rFonts w:ascii="Helvetica" w:hAnsi="Helvetica" w:cs="Helvetica"/>
                <w:sz w:val="20"/>
                <w:szCs w:val="20"/>
              </w:rPr>
              <w:lastRenderedPageBreak/>
              <w:t>Cloud computing solution shall be evaluated against data residence and exposure to cybersecurity threats and risks amongst other parameters. Other evaluation parameters are as provided under guideline 9 of these Guidelines.</w:t>
            </w:r>
          </w:p>
        </w:tc>
        <w:tc>
          <w:tcPr>
            <w:tcW w:w="2790" w:type="dxa"/>
          </w:tcPr>
          <w:p w14:paraId="0DDA9AC7" w14:textId="77777777" w:rsidR="00BE42B1" w:rsidRPr="00B459EC" w:rsidRDefault="00BE42B1" w:rsidP="00B459EC">
            <w:pPr>
              <w:spacing w:line="360" w:lineRule="auto"/>
              <w:jc w:val="both"/>
              <w:rPr>
                <w:rFonts w:ascii="Helvetica" w:hAnsi="Helvetica" w:cs="Helvetica"/>
                <w:sz w:val="20"/>
                <w:szCs w:val="20"/>
              </w:rPr>
            </w:pPr>
          </w:p>
        </w:tc>
        <w:tc>
          <w:tcPr>
            <w:tcW w:w="2430" w:type="dxa"/>
          </w:tcPr>
          <w:p w14:paraId="2762F19D" w14:textId="77777777" w:rsidR="00BE42B1" w:rsidRPr="00B459EC" w:rsidRDefault="00BE42B1" w:rsidP="00B459EC">
            <w:pPr>
              <w:spacing w:line="360" w:lineRule="auto"/>
              <w:jc w:val="both"/>
              <w:rPr>
                <w:rFonts w:ascii="Helvetica" w:hAnsi="Helvetica" w:cs="Helvetica"/>
                <w:sz w:val="20"/>
                <w:szCs w:val="20"/>
              </w:rPr>
            </w:pPr>
          </w:p>
        </w:tc>
        <w:tc>
          <w:tcPr>
            <w:tcW w:w="2136" w:type="dxa"/>
          </w:tcPr>
          <w:p w14:paraId="17EAF9D2" w14:textId="77777777" w:rsidR="00BE42B1" w:rsidRPr="00B459EC" w:rsidRDefault="00BE42B1" w:rsidP="00B459EC">
            <w:pPr>
              <w:spacing w:line="360" w:lineRule="auto"/>
              <w:jc w:val="both"/>
              <w:rPr>
                <w:rFonts w:ascii="Helvetica" w:hAnsi="Helvetica" w:cs="Helvetica"/>
                <w:sz w:val="20"/>
                <w:szCs w:val="20"/>
              </w:rPr>
            </w:pPr>
          </w:p>
        </w:tc>
      </w:tr>
      <w:tr w:rsidR="00EE2A80" w:rsidRPr="00B459EC" w14:paraId="02136C5D" w14:textId="2C7E9C1F" w:rsidTr="009D06EA">
        <w:tc>
          <w:tcPr>
            <w:tcW w:w="540" w:type="dxa"/>
          </w:tcPr>
          <w:p w14:paraId="5A07281A" w14:textId="77777777" w:rsidR="00EE2A80" w:rsidRPr="00B459EC" w:rsidRDefault="00EE2A80" w:rsidP="00EE2A80">
            <w:pPr>
              <w:spacing w:line="360" w:lineRule="auto"/>
              <w:rPr>
                <w:rFonts w:ascii="Helvetica" w:hAnsi="Helvetica" w:cs="Helvetica"/>
                <w:sz w:val="20"/>
                <w:szCs w:val="20"/>
              </w:rPr>
            </w:pPr>
          </w:p>
        </w:tc>
        <w:tc>
          <w:tcPr>
            <w:tcW w:w="2790" w:type="dxa"/>
          </w:tcPr>
          <w:p w14:paraId="42459289" w14:textId="7B8C8CEC" w:rsidR="00EE2A80" w:rsidRPr="00B459EC" w:rsidRDefault="00EE2A80" w:rsidP="00EE2A80">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For the purpose of these guidelines, application systems of a financial service provider shall be classified as (1) mission critical system or (2) non-mission critical system. </w:t>
            </w:r>
          </w:p>
        </w:tc>
        <w:tc>
          <w:tcPr>
            <w:tcW w:w="2790" w:type="dxa"/>
          </w:tcPr>
          <w:p w14:paraId="721A4478" w14:textId="7867893C" w:rsidR="00EE2A80" w:rsidRPr="00B459EC" w:rsidRDefault="00EE2A80" w:rsidP="00EE2A80">
            <w:pPr>
              <w:spacing w:line="360" w:lineRule="auto"/>
              <w:jc w:val="both"/>
              <w:rPr>
                <w:rFonts w:ascii="Helvetica" w:hAnsi="Helvetica" w:cs="Helvetica"/>
                <w:sz w:val="20"/>
                <w:szCs w:val="20"/>
              </w:rPr>
            </w:pPr>
            <w:r w:rsidRPr="00A83DB3">
              <w:rPr>
                <w:rFonts w:ascii="Helvetica" w:hAnsi="Helvetica" w:cs="Helvetica"/>
                <w:sz w:val="20"/>
                <w:szCs w:val="20"/>
              </w:rPr>
              <w:t>None</w:t>
            </w:r>
          </w:p>
        </w:tc>
        <w:tc>
          <w:tcPr>
            <w:tcW w:w="2430" w:type="dxa"/>
          </w:tcPr>
          <w:p w14:paraId="25023EE5" w14:textId="77777777" w:rsidR="00EE2A80" w:rsidRPr="00B459EC" w:rsidRDefault="00EE2A80" w:rsidP="00EE2A80">
            <w:pPr>
              <w:spacing w:line="360" w:lineRule="auto"/>
              <w:jc w:val="both"/>
              <w:rPr>
                <w:rFonts w:ascii="Helvetica" w:hAnsi="Helvetica" w:cs="Helvetica"/>
                <w:sz w:val="20"/>
                <w:szCs w:val="20"/>
              </w:rPr>
            </w:pPr>
          </w:p>
        </w:tc>
        <w:tc>
          <w:tcPr>
            <w:tcW w:w="2136" w:type="dxa"/>
          </w:tcPr>
          <w:p w14:paraId="103818E5" w14:textId="77777777" w:rsidR="00EE2A80" w:rsidRPr="00B459EC" w:rsidRDefault="00EE2A80" w:rsidP="00EE2A80">
            <w:pPr>
              <w:spacing w:line="360" w:lineRule="auto"/>
              <w:jc w:val="both"/>
              <w:rPr>
                <w:rFonts w:ascii="Helvetica" w:hAnsi="Helvetica" w:cs="Helvetica"/>
                <w:sz w:val="20"/>
                <w:szCs w:val="20"/>
              </w:rPr>
            </w:pPr>
          </w:p>
        </w:tc>
      </w:tr>
      <w:tr w:rsidR="00EE2A80" w:rsidRPr="00B459EC" w14:paraId="71AA5944" w14:textId="531FD58B" w:rsidTr="009D06EA">
        <w:tc>
          <w:tcPr>
            <w:tcW w:w="540" w:type="dxa"/>
          </w:tcPr>
          <w:p w14:paraId="3FE3A834" w14:textId="77777777" w:rsidR="00EE2A80" w:rsidRPr="00B459EC" w:rsidRDefault="00EE2A80" w:rsidP="00EE2A80">
            <w:pPr>
              <w:spacing w:line="360" w:lineRule="auto"/>
              <w:rPr>
                <w:rFonts w:ascii="Helvetica" w:hAnsi="Helvetica" w:cs="Helvetica"/>
                <w:sz w:val="20"/>
                <w:szCs w:val="20"/>
              </w:rPr>
            </w:pPr>
          </w:p>
        </w:tc>
        <w:tc>
          <w:tcPr>
            <w:tcW w:w="2790" w:type="dxa"/>
          </w:tcPr>
          <w:p w14:paraId="3E30D00D" w14:textId="5F9A5CB6" w:rsidR="00EE2A80" w:rsidRPr="00B459EC" w:rsidRDefault="00EE2A80" w:rsidP="00EE2A80">
            <w:pPr>
              <w:pStyle w:val="ListParagraph"/>
              <w:numPr>
                <w:ilvl w:val="0"/>
                <w:numId w:val="3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Mission Critical Systems </w:t>
            </w:r>
          </w:p>
        </w:tc>
        <w:tc>
          <w:tcPr>
            <w:tcW w:w="2790" w:type="dxa"/>
          </w:tcPr>
          <w:p w14:paraId="46484DDC" w14:textId="3708AE52" w:rsidR="00EE2A80" w:rsidRPr="00B459EC" w:rsidRDefault="00EE2A80" w:rsidP="009D06EA">
            <w:pPr>
              <w:spacing w:line="360" w:lineRule="auto"/>
              <w:jc w:val="both"/>
              <w:rPr>
                <w:rFonts w:ascii="Helvetica" w:hAnsi="Helvetica" w:cs="Helvetica"/>
                <w:sz w:val="20"/>
                <w:szCs w:val="20"/>
              </w:rPr>
            </w:pPr>
            <w:r w:rsidRPr="00A83DB3">
              <w:rPr>
                <w:rFonts w:ascii="Helvetica" w:hAnsi="Helvetica" w:cs="Helvetica"/>
                <w:sz w:val="20"/>
                <w:szCs w:val="20"/>
              </w:rPr>
              <w:t>None</w:t>
            </w:r>
          </w:p>
        </w:tc>
        <w:tc>
          <w:tcPr>
            <w:tcW w:w="2430" w:type="dxa"/>
          </w:tcPr>
          <w:p w14:paraId="7060FC83" w14:textId="77777777" w:rsidR="00EE2A80" w:rsidRPr="00B459EC" w:rsidRDefault="00EE2A80" w:rsidP="00EE2A80">
            <w:pPr>
              <w:spacing w:line="360" w:lineRule="auto"/>
              <w:ind w:left="720"/>
              <w:jc w:val="both"/>
              <w:rPr>
                <w:rFonts w:ascii="Helvetica" w:hAnsi="Helvetica" w:cs="Helvetica"/>
                <w:sz w:val="20"/>
                <w:szCs w:val="20"/>
              </w:rPr>
            </w:pPr>
          </w:p>
        </w:tc>
        <w:tc>
          <w:tcPr>
            <w:tcW w:w="2136" w:type="dxa"/>
          </w:tcPr>
          <w:p w14:paraId="075012DC" w14:textId="77777777" w:rsidR="00EE2A80" w:rsidRPr="00B459EC" w:rsidRDefault="00EE2A80" w:rsidP="00EE2A80">
            <w:pPr>
              <w:spacing w:line="360" w:lineRule="auto"/>
              <w:ind w:left="720"/>
              <w:jc w:val="both"/>
              <w:rPr>
                <w:rFonts w:ascii="Helvetica" w:hAnsi="Helvetica" w:cs="Helvetica"/>
                <w:sz w:val="20"/>
                <w:szCs w:val="20"/>
              </w:rPr>
            </w:pPr>
          </w:p>
        </w:tc>
      </w:tr>
      <w:tr w:rsidR="00D4699E" w:rsidRPr="00B459EC" w14:paraId="49B5CF1E" w14:textId="25F041D6" w:rsidTr="009D06EA">
        <w:tc>
          <w:tcPr>
            <w:tcW w:w="540" w:type="dxa"/>
          </w:tcPr>
          <w:p w14:paraId="184E4205" w14:textId="77777777" w:rsidR="00D4699E" w:rsidRPr="00B459EC" w:rsidRDefault="00D4699E" w:rsidP="00D4699E">
            <w:pPr>
              <w:spacing w:line="360" w:lineRule="auto"/>
              <w:rPr>
                <w:rFonts w:ascii="Helvetica" w:hAnsi="Helvetica" w:cs="Helvetica"/>
                <w:sz w:val="20"/>
                <w:szCs w:val="20"/>
              </w:rPr>
            </w:pPr>
          </w:p>
        </w:tc>
        <w:tc>
          <w:tcPr>
            <w:tcW w:w="2790" w:type="dxa"/>
          </w:tcPr>
          <w:p w14:paraId="2F2F6EAE" w14:textId="1BB8B6EC" w:rsidR="00D4699E" w:rsidRPr="00B459EC" w:rsidRDefault="00D4699E" w:rsidP="00D4699E">
            <w:pPr>
              <w:spacing w:line="360" w:lineRule="auto"/>
              <w:jc w:val="both"/>
              <w:rPr>
                <w:rFonts w:ascii="Helvetica" w:hAnsi="Helvetica" w:cs="Helvetica"/>
                <w:sz w:val="20"/>
                <w:szCs w:val="20"/>
              </w:rPr>
            </w:pPr>
            <w:r w:rsidRPr="00B459EC">
              <w:rPr>
                <w:rFonts w:ascii="Helvetica" w:hAnsi="Helvetica" w:cs="Helvetica"/>
                <w:sz w:val="20"/>
                <w:szCs w:val="20"/>
              </w:rPr>
              <w:t xml:space="preserve">A mission critical system is a system that is essential to the survival of a financial service provider. When a mission critical system fails or is interrupted, business operations are significantly impacted. Mission-critical is any IT component (software, hardware, database, process, application, etc.) that performs a function essential to business operation. These systems </w:t>
            </w:r>
            <w:r w:rsidRPr="00B459EC">
              <w:rPr>
                <w:rFonts w:ascii="Helvetica" w:hAnsi="Helvetica" w:cs="Helvetica"/>
                <w:sz w:val="20"/>
                <w:szCs w:val="20"/>
              </w:rPr>
              <w:lastRenderedPageBreak/>
              <w:t>enable a financial service provider to perform Core management functions including customer deposit management, granting of credit accommodations, trade finance, payments and settlements, and human resource management.</w:t>
            </w:r>
          </w:p>
        </w:tc>
        <w:tc>
          <w:tcPr>
            <w:tcW w:w="2790" w:type="dxa"/>
          </w:tcPr>
          <w:p w14:paraId="633776B7" w14:textId="77777777" w:rsidR="00D4699E" w:rsidRPr="00B459EC" w:rsidRDefault="00D4699E" w:rsidP="00D4699E">
            <w:pPr>
              <w:spacing w:line="360" w:lineRule="auto"/>
              <w:jc w:val="both"/>
              <w:rPr>
                <w:rFonts w:ascii="Helvetica" w:hAnsi="Helvetica" w:cs="Helvetica"/>
                <w:sz w:val="20"/>
                <w:szCs w:val="20"/>
              </w:rPr>
            </w:pPr>
            <w:r w:rsidRPr="00B459EC">
              <w:rPr>
                <w:rFonts w:ascii="Helvetica" w:hAnsi="Helvetica" w:cs="Helvetica"/>
                <w:sz w:val="20"/>
                <w:szCs w:val="20"/>
              </w:rPr>
              <w:lastRenderedPageBreak/>
              <w:t xml:space="preserve">The definition of mission critical systems is very wide and covering majority of the banking systems. Some of these systems will perform better on the cloud compared to on premise computing. </w:t>
            </w:r>
          </w:p>
          <w:p w14:paraId="36EB4980" w14:textId="5649AB24" w:rsidR="00D4699E" w:rsidRPr="00B459EC" w:rsidRDefault="00D4699E" w:rsidP="00D4699E">
            <w:pPr>
              <w:spacing w:line="360" w:lineRule="auto"/>
              <w:jc w:val="both"/>
              <w:rPr>
                <w:rFonts w:ascii="Helvetica" w:hAnsi="Helvetica" w:cs="Helvetica"/>
                <w:sz w:val="20"/>
                <w:szCs w:val="20"/>
              </w:rPr>
            </w:pPr>
            <w:r w:rsidRPr="00B459EC">
              <w:rPr>
                <w:rFonts w:ascii="Helvetica" w:hAnsi="Helvetica" w:cs="Helvetica"/>
                <w:sz w:val="20"/>
                <w:szCs w:val="20"/>
              </w:rPr>
              <w:t>Therefore, we suggest some of the mission critical systems to be reclassified and allowed on cloud computing on risk-based approach and approval from the Bank.</w:t>
            </w:r>
          </w:p>
          <w:p w14:paraId="48058872" w14:textId="4524FC2E" w:rsidR="00D4699E" w:rsidRPr="00B459EC" w:rsidRDefault="00D4699E" w:rsidP="00D4699E">
            <w:pPr>
              <w:spacing w:line="360" w:lineRule="auto"/>
              <w:jc w:val="both"/>
              <w:rPr>
                <w:rFonts w:ascii="Helvetica" w:hAnsi="Helvetica" w:cs="Helvetica"/>
                <w:sz w:val="20"/>
                <w:szCs w:val="20"/>
              </w:rPr>
            </w:pPr>
            <w:r w:rsidRPr="00B459EC">
              <w:rPr>
                <w:rFonts w:ascii="Helvetica" w:hAnsi="Helvetica" w:cs="Helvetica"/>
                <w:sz w:val="20"/>
                <w:szCs w:val="20"/>
              </w:rPr>
              <w:lastRenderedPageBreak/>
              <w:t>The expected functions of mission-critical system should be exhaustive to make it clear.</w:t>
            </w:r>
          </w:p>
        </w:tc>
        <w:tc>
          <w:tcPr>
            <w:tcW w:w="2430" w:type="dxa"/>
            <w:vAlign w:val="center"/>
          </w:tcPr>
          <w:p w14:paraId="261DED84" w14:textId="62492EE0" w:rsidR="00D4699E" w:rsidRPr="00B459EC" w:rsidRDefault="00D4699E" w:rsidP="00D4699E">
            <w:pPr>
              <w:spacing w:line="360" w:lineRule="auto"/>
              <w:jc w:val="both"/>
              <w:rPr>
                <w:rFonts w:ascii="Helvetica" w:hAnsi="Helvetica" w:cs="Helvetica"/>
                <w:sz w:val="20"/>
                <w:szCs w:val="20"/>
              </w:rPr>
            </w:pPr>
            <w:r w:rsidRPr="004810EC">
              <w:rPr>
                <w:rFonts w:ascii="Arial" w:eastAsia="Times New Roman" w:hAnsi="Arial" w:cs="Arial"/>
                <w:color w:val="000000"/>
                <w:sz w:val="20"/>
                <w:szCs w:val="20"/>
              </w:rPr>
              <w:lastRenderedPageBreak/>
              <w:t>The definition of a mission-critical system is comprehensive and well-articulated. It aligns with similar definitions adopted by other SADC member states as well as India and Mauritius (</w:t>
            </w:r>
            <w:r w:rsidRPr="004810EC">
              <w:rPr>
                <w:rFonts w:ascii="Arial" w:eastAsia="Times New Roman" w:hAnsi="Arial" w:cs="Arial"/>
                <w:i/>
                <w:iCs/>
                <w:color w:val="000000"/>
                <w:sz w:val="20"/>
                <w:szCs w:val="20"/>
              </w:rPr>
              <w:t>material outsourcing</w:t>
            </w:r>
            <w:r w:rsidRPr="004810EC">
              <w:rPr>
                <w:rFonts w:ascii="Arial" w:eastAsia="Times New Roman" w:hAnsi="Arial" w:cs="Arial"/>
                <w:color w:val="000000"/>
                <w:sz w:val="20"/>
                <w:szCs w:val="20"/>
              </w:rPr>
              <w:t>), and therefore, it is recommended that the same definition to prevail</w:t>
            </w:r>
            <w:r>
              <w:rPr>
                <w:rFonts w:ascii="Arial" w:eastAsia="Times New Roman" w:hAnsi="Arial" w:cs="Arial"/>
                <w:color w:val="000000"/>
                <w:sz w:val="20"/>
                <w:szCs w:val="20"/>
              </w:rPr>
              <w:t xml:space="preserve"> after deleting the examples</w:t>
            </w:r>
            <w:r w:rsidRPr="004810EC">
              <w:rPr>
                <w:rFonts w:ascii="Arial" w:eastAsia="Times New Roman" w:hAnsi="Arial" w:cs="Arial"/>
                <w:color w:val="000000"/>
                <w:sz w:val="20"/>
                <w:szCs w:val="20"/>
              </w:rPr>
              <w:t>;</w:t>
            </w:r>
          </w:p>
        </w:tc>
        <w:tc>
          <w:tcPr>
            <w:tcW w:w="2136" w:type="dxa"/>
            <w:vAlign w:val="center"/>
          </w:tcPr>
          <w:p w14:paraId="6CC41246" w14:textId="77777777" w:rsidR="00D4699E" w:rsidRPr="00B712B0" w:rsidRDefault="00D4699E" w:rsidP="009D06EA">
            <w:pPr>
              <w:spacing w:line="360" w:lineRule="auto"/>
              <w:jc w:val="both"/>
              <w:rPr>
                <w:sz w:val="20"/>
                <w:szCs w:val="20"/>
              </w:rPr>
            </w:pPr>
            <w:r w:rsidRPr="00B712B0">
              <w:rPr>
                <w:rFonts w:ascii="Helvetica" w:hAnsi="Helvetica" w:cs="Helvetica"/>
                <w:sz w:val="20"/>
                <w:szCs w:val="20"/>
              </w:rPr>
              <w:t xml:space="preserve">A </w:t>
            </w:r>
            <w:r w:rsidRPr="009D06EA">
              <w:rPr>
                <w:rFonts w:ascii="Arial" w:eastAsia="Times New Roman" w:hAnsi="Arial" w:cs="Arial"/>
                <w:color w:val="000000"/>
                <w:sz w:val="20"/>
                <w:szCs w:val="20"/>
              </w:rPr>
              <w:t>mission</w:t>
            </w:r>
            <w:r w:rsidRPr="00B712B0">
              <w:rPr>
                <w:rFonts w:ascii="Helvetica" w:hAnsi="Helvetica" w:cs="Helvetica"/>
                <w:sz w:val="20"/>
                <w:szCs w:val="20"/>
              </w:rPr>
              <w:t xml:space="preserve"> critical system is a system that is essential to the survival of a financial service provider. When a mission critical system fails or is interrupted, business operations are significantly impacted. Mission-critical is any IT component (software, hardware, database, </w:t>
            </w:r>
            <w:r w:rsidRPr="00B712B0">
              <w:rPr>
                <w:rFonts w:ascii="Helvetica" w:hAnsi="Helvetica" w:cs="Helvetica"/>
                <w:sz w:val="20"/>
                <w:szCs w:val="20"/>
              </w:rPr>
              <w:lastRenderedPageBreak/>
              <w:t>process, application, etc.) that performs a function essential to business operation. These systems enable a financial service provider to perform core functions</w:t>
            </w:r>
            <w:r w:rsidRPr="00B712B0">
              <w:rPr>
                <w:sz w:val="20"/>
                <w:szCs w:val="20"/>
              </w:rPr>
              <w:t>.</w:t>
            </w:r>
          </w:p>
          <w:p w14:paraId="0D1A8643" w14:textId="2C98226A" w:rsidR="00D4699E" w:rsidRPr="00B459EC" w:rsidRDefault="00D4699E" w:rsidP="00D4699E">
            <w:pPr>
              <w:spacing w:line="360" w:lineRule="auto"/>
              <w:jc w:val="both"/>
              <w:rPr>
                <w:rFonts w:ascii="Helvetica" w:hAnsi="Helvetica" w:cs="Helvetica"/>
                <w:sz w:val="20"/>
                <w:szCs w:val="20"/>
              </w:rPr>
            </w:pPr>
          </w:p>
        </w:tc>
      </w:tr>
      <w:tr w:rsidR="00EE2A80" w:rsidRPr="00B459EC" w14:paraId="10CD642B" w14:textId="4D9D71CF" w:rsidTr="009D06EA">
        <w:tc>
          <w:tcPr>
            <w:tcW w:w="540" w:type="dxa"/>
          </w:tcPr>
          <w:p w14:paraId="0A664ED5" w14:textId="77777777" w:rsidR="00EE2A80" w:rsidRPr="00B459EC" w:rsidRDefault="00EE2A80" w:rsidP="00EE2A80">
            <w:pPr>
              <w:spacing w:line="360" w:lineRule="auto"/>
              <w:rPr>
                <w:rFonts w:ascii="Helvetica" w:hAnsi="Helvetica" w:cs="Helvetica"/>
                <w:sz w:val="20"/>
                <w:szCs w:val="20"/>
              </w:rPr>
            </w:pPr>
          </w:p>
        </w:tc>
        <w:tc>
          <w:tcPr>
            <w:tcW w:w="2790" w:type="dxa"/>
          </w:tcPr>
          <w:p w14:paraId="5ED79DCB" w14:textId="0D477BD5" w:rsidR="00EE2A80" w:rsidRPr="00B459EC" w:rsidRDefault="00EE2A80" w:rsidP="00EE2A80">
            <w:pPr>
              <w:spacing w:line="360" w:lineRule="auto"/>
              <w:jc w:val="both"/>
              <w:rPr>
                <w:rFonts w:ascii="Helvetica" w:hAnsi="Helvetica" w:cs="Helvetica"/>
                <w:color w:val="FF0000"/>
                <w:sz w:val="20"/>
                <w:szCs w:val="20"/>
              </w:rPr>
            </w:pPr>
            <w:bookmarkStart w:id="3" w:name="_Hlk150184140"/>
            <w:r w:rsidRPr="00B459EC">
              <w:rPr>
                <w:rFonts w:ascii="Helvetica" w:hAnsi="Helvetica" w:cs="Helvetica"/>
                <w:sz w:val="20"/>
                <w:szCs w:val="20"/>
              </w:rPr>
              <w:t>A financial service provider shall not host a mission-critical system or any other</w:t>
            </w:r>
            <w:r w:rsidRPr="00B459EC">
              <w:rPr>
                <w:rFonts w:ascii="Helvetica" w:hAnsi="Helvetica" w:cs="Helvetica"/>
                <w:color w:val="FF0000"/>
                <w:sz w:val="20"/>
                <w:szCs w:val="20"/>
              </w:rPr>
              <w:t xml:space="preserve"> </w:t>
            </w:r>
            <w:r w:rsidRPr="00B459EC">
              <w:rPr>
                <w:rFonts w:ascii="Helvetica" w:hAnsi="Helvetica" w:cs="Helvetica"/>
                <w:color w:val="000000" w:themeColor="text1"/>
                <w:sz w:val="20"/>
                <w:szCs w:val="20"/>
              </w:rPr>
              <w:t xml:space="preserve">system whose data are considered critical for the operations of the FSP as determined by the Bank, </w:t>
            </w:r>
            <w:r w:rsidRPr="00B459EC">
              <w:rPr>
                <w:rFonts w:ascii="Helvetica" w:hAnsi="Helvetica" w:cs="Helvetica"/>
                <w:sz w:val="20"/>
                <w:szCs w:val="20"/>
              </w:rPr>
              <w:t>in a</w:t>
            </w:r>
            <w:r w:rsidRPr="00B459EC">
              <w:rPr>
                <w:rFonts w:ascii="Helvetica" w:hAnsi="Helvetica" w:cs="Helvetica"/>
                <w:color w:val="000000" w:themeColor="text1"/>
                <w:sz w:val="20"/>
                <w:szCs w:val="20"/>
              </w:rPr>
              <w:t xml:space="preserve"> primary data Centre or Cloud service provider whose hosting infrastructure is outside Tanzania.</w:t>
            </w:r>
          </w:p>
        </w:tc>
        <w:tc>
          <w:tcPr>
            <w:tcW w:w="2790" w:type="dxa"/>
          </w:tcPr>
          <w:p w14:paraId="0149DD9E" w14:textId="2791BB82" w:rsidR="00EE2A80" w:rsidRPr="00B459EC" w:rsidRDefault="00EE2A80" w:rsidP="00EE2A80">
            <w:pPr>
              <w:spacing w:line="360" w:lineRule="auto"/>
              <w:jc w:val="both"/>
              <w:rPr>
                <w:rFonts w:ascii="Helvetica" w:hAnsi="Helvetica" w:cs="Helvetica"/>
                <w:sz w:val="20"/>
                <w:szCs w:val="20"/>
              </w:rPr>
            </w:pPr>
            <w:r w:rsidRPr="00D1591C">
              <w:rPr>
                <w:rFonts w:ascii="Helvetica" w:hAnsi="Helvetica" w:cs="Helvetica"/>
                <w:sz w:val="20"/>
                <w:szCs w:val="20"/>
              </w:rPr>
              <w:t>None</w:t>
            </w:r>
          </w:p>
        </w:tc>
        <w:tc>
          <w:tcPr>
            <w:tcW w:w="2430" w:type="dxa"/>
          </w:tcPr>
          <w:p w14:paraId="22505E5E" w14:textId="77777777" w:rsidR="00EE2A80" w:rsidRPr="00B459EC" w:rsidRDefault="00EE2A80" w:rsidP="00EE2A80">
            <w:pPr>
              <w:spacing w:line="360" w:lineRule="auto"/>
              <w:jc w:val="both"/>
              <w:rPr>
                <w:rFonts w:ascii="Helvetica" w:hAnsi="Helvetica" w:cs="Helvetica"/>
                <w:sz w:val="20"/>
                <w:szCs w:val="20"/>
              </w:rPr>
            </w:pPr>
          </w:p>
        </w:tc>
        <w:tc>
          <w:tcPr>
            <w:tcW w:w="2136" w:type="dxa"/>
          </w:tcPr>
          <w:p w14:paraId="2C23F841" w14:textId="77777777" w:rsidR="00EE2A80" w:rsidRPr="00B459EC" w:rsidRDefault="00EE2A80" w:rsidP="00EE2A80">
            <w:pPr>
              <w:spacing w:line="360" w:lineRule="auto"/>
              <w:jc w:val="both"/>
              <w:rPr>
                <w:rFonts w:ascii="Helvetica" w:hAnsi="Helvetica" w:cs="Helvetica"/>
                <w:sz w:val="20"/>
                <w:szCs w:val="20"/>
              </w:rPr>
            </w:pPr>
          </w:p>
        </w:tc>
      </w:tr>
      <w:tr w:rsidR="00EE2A80" w:rsidRPr="00B459EC" w14:paraId="392D1F29" w14:textId="7AF79839" w:rsidTr="009D06EA">
        <w:tc>
          <w:tcPr>
            <w:tcW w:w="540" w:type="dxa"/>
          </w:tcPr>
          <w:p w14:paraId="7E9ABD66" w14:textId="77777777" w:rsidR="00EE2A80" w:rsidRPr="00B459EC" w:rsidRDefault="00EE2A80" w:rsidP="00EE2A80">
            <w:pPr>
              <w:spacing w:line="360" w:lineRule="auto"/>
              <w:rPr>
                <w:rFonts w:ascii="Helvetica" w:hAnsi="Helvetica" w:cs="Helvetica"/>
                <w:sz w:val="20"/>
                <w:szCs w:val="20"/>
              </w:rPr>
            </w:pPr>
          </w:p>
        </w:tc>
        <w:bookmarkEnd w:id="3"/>
        <w:tc>
          <w:tcPr>
            <w:tcW w:w="2790" w:type="dxa"/>
          </w:tcPr>
          <w:p w14:paraId="32887CEB" w14:textId="11EAFA8D" w:rsidR="00EE2A80" w:rsidRPr="00B459EC" w:rsidRDefault="00EE2A80" w:rsidP="00EE2A80">
            <w:pPr>
              <w:pStyle w:val="ListParagraph"/>
              <w:numPr>
                <w:ilvl w:val="0"/>
                <w:numId w:val="3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Non-mission critical</w:t>
            </w:r>
          </w:p>
        </w:tc>
        <w:tc>
          <w:tcPr>
            <w:tcW w:w="2790" w:type="dxa"/>
          </w:tcPr>
          <w:p w14:paraId="48B36BBE" w14:textId="1CD3420C" w:rsidR="00EE2A80" w:rsidRPr="00B459EC" w:rsidRDefault="00EE2A80" w:rsidP="00EE2A80">
            <w:pPr>
              <w:spacing w:line="360" w:lineRule="auto"/>
              <w:jc w:val="both"/>
              <w:rPr>
                <w:rFonts w:ascii="Helvetica" w:hAnsi="Helvetica" w:cs="Helvetica"/>
                <w:sz w:val="20"/>
                <w:szCs w:val="20"/>
              </w:rPr>
            </w:pPr>
            <w:r w:rsidRPr="00D1591C">
              <w:rPr>
                <w:rFonts w:ascii="Helvetica" w:hAnsi="Helvetica" w:cs="Helvetica"/>
                <w:sz w:val="20"/>
                <w:szCs w:val="20"/>
              </w:rPr>
              <w:t>None</w:t>
            </w:r>
          </w:p>
        </w:tc>
        <w:tc>
          <w:tcPr>
            <w:tcW w:w="2430" w:type="dxa"/>
          </w:tcPr>
          <w:p w14:paraId="561BBFF6" w14:textId="77777777" w:rsidR="00EE2A80" w:rsidRPr="00B459EC" w:rsidRDefault="00EE2A80" w:rsidP="00EE2A80">
            <w:pPr>
              <w:spacing w:line="360" w:lineRule="auto"/>
              <w:jc w:val="both"/>
              <w:rPr>
                <w:rFonts w:ascii="Helvetica" w:hAnsi="Helvetica" w:cs="Helvetica"/>
                <w:sz w:val="20"/>
                <w:szCs w:val="20"/>
              </w:rPr>
            </w:pPr>
          </w:p>
        </w:tc>
        <w:tc>
          <w:tcPr>
            <w:tcW w:w="2136" w:type="dxa"/>
          </w:tcPr>
          <w:p w14:paraId="0797AEE8" w14:textId="77777777" w:rsidR="00EE2A80" w:rsidRPr="00B459EC" w:rsidRDefault="00EE2A80" w:rsidP="00EE2A80">
            <w:pPr>
              <w:spacing w:line="360" w:lineRule="auto"/>
              <w:jc w:val="both"/>
              <w:rPr>
                <w:rFonts w:ascii="Helvetica" w:hAnsi="Helvetica" w:cs="Helvetica"/>
                <w:sz w:val="20"/>
                <w:szCs w:val="20"/>
              </w:rPr>
            </w:pPr>
          </w:p>
        </w:tc>
      </w:tr>
      <w:tr w:rsidR="00BC21C4" w:rsidRPr="00B459EC" w14:paraId="15421B6F" w14:textId="611DB8D8" w:rsidTr="009D06EA">
        <w:tc>
          <w:tcPr>
            <w:tcW w:w="540" w:type="dxa"/>
          </w:tcPr>
          <w:p w14:paraId="4E37EB5D" w14:textId="77777777" w:rsidR="00C86F61" w:rsidRPr="00B459EC" w:rsidRDefault="00C86F61" w:rsidP="00B459EC">
            <w:pPr>
              <w:spacing w:line="360" w:lineRule="auto"/>
              <w:rPr>
                <w:rFonts w:ascii="Helvetica" w:hAnsi="Helvetica" w:cs="Helvetica"/>
                <w:sz w:val="20"/>
                <w:szCs w:val="20"/>
              </w:rPr>
            </w:pPr>
          </w:p>
        </w:tc>
        <w:tc>
          <w:tcPr>
            <w:tcW w:w="2790" w:type="dxa"/>
          </w:tcPr>
          <w:p w14:paraId="13112EEE" w14:textId="1160EB84" w:rsidR="00C86F61" w:rsidRPr="00B459EC" w:rsidRDefault="00C86F61" w:rsidP="00B459EC">
            <w:pPr>
              <w:spacing w:line="360" w:lineRule="auto"/>
              <w:jc w:val="both"/>
              <w:rPr>
                <w:rFonts w:ascii="Helvetica" w:hAnsi="Helvetica" w:cs="Helvetica"/>
                <w:sz w:val="20"/>
                <w:szCs w:val="20"/>
              </w:rPr>
            </w:pPr>
            <w:r w:rsidRPr="00B459EC">
              <w:rPr>
                <w:rFonts w:ascii="Helvetica" w:hAnsi="Helvetica" w:cs="Helvetica"/>
                <w:sz w:val="20"/>
                <w:szCs w:val="20"/>
              </w:rPr>
              <w:t>A non-mission critical system is a system that is not essential to the core operations of a financial service provider. These systems enable a financial service provider to perform the functions such as marketing and sales, budgeting, and collaboration.</w:t>
            </w:r>
          </w:p>
        </w:tc>
        <w:tc>
          <w:tcPr>
            <w:tcW w:w="2790" w:type="dxa"/>
          </w:tcPr>
          <w:p w14:paraId="7ADD5132" w14:textId="7465FBD4" w:rsidR="00C86F61" w:rsidRPr="00B459EC" w:rsidRDefault="00C86F61" w:rsidP="00B459EC">
            <w:pPr>
              <w:spacing w:line="360" w:lineRule="auto"/>
              <w:jc w:val="both"/>
              <w:rPr>
                <w:rFonts w:ascii="Helvetica" w:hAnsi="Helvetica" w:cs="Helvetica"/>
                <w:sz w:val="20"/>
                <w:szCs w:val="20"/>
              </w:rPr>
            </w:pPr>
            <w:r w:rsidRPr="00B459EC">
              <w:rPr>
                <w:rFonts w:ascii="Helvetica" w:eastAsia="Times New Roman" w:hAnsi="Helvetica" w:cs="Helvetica"/>
                <w:color w:val="000000"/>
                <w:sz w:val="20"/>
                <w:szCs w:val="20"/>
                <w:lang w:eastAsia="en-GB"/>
              </w:rPr>
              <w:t>Since the list of functions of the non-mission critical is not finite, we suggest that there should be a clear avenue of verifying whether something is mission critical or not (say: no Personal, Client or transactional data, etc).</w:t>
            </w:r>
          </w:p>
        </w:tc>
        <w:tc>
          <w:tcPr>
            <w:tcW w:w="2430" w:type="dxa"/>
          </w:tcPr>
          <w:p w14:paraId="077AE529" w14:textId="2B1E4023" w:rsidR="00C86F61" w:rsidRPr="00B459EC" w:rsidRDefault="00C86F61"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1. The definition of non-mission critical system highly depends on the definition of mission-critical system and therefore since it is recommended to </w:t>
            </w:r>
            <w:r w:rsidR="00FB5289" w:rsidRPr="00B459EC">
              <w:rPr>
                <w:rFonts w:ascii="Helvetica" w:hAnsi="Helvetica" w:cs="Helvetica"/>
                <w:sz w:val="20"/>
                <w:szCs w:val="20"/>
              </w:rPr>
              <w:t>maintain</w:t>
            </w:r>
            <w:r w:rsidRPr="00B459EC">
              <w:rPr>
                <w:rFonts w:ascii="Helvetica" w:hAnsi="Helvetica" w:cs="Helvetica"/>
                <w:sz w:val="20"/>
                <w:szCs w:val="20"/>
              </w:rPr>
              <w:t xml:space="preserve"> the same definition of mission-critical systems, then the </w:t>
            </w:r>
            <w:r w:rsidRPr="00B459EC">
              <w:rPr>
                <w:rFonts w:ascii="Helvetica" w:hAnsi="Helvetica" w:cs="Helvetica"/>
                <w:sz w:val="20"/>
                <w:szCs w:val="20"/>
              </w:rPr>
              <w:lastRenderedPageBreak/>
              <w:t xml:space="preserve">same definition for non-mission critical systems may </w:t>
            </w:r>
            <w:r w:rsidR="00FB5289" w:rsidRPr="00B459EC">
              <w:rPr>
                <w:rFonts w:ascii="Helvetica" w:hAnsi="Helvetica" w:cs="Helvetica"/>
                <w:sz w:val="20"/>
                <w:szCs w:val="20"/>
              </w:rPr>
              <w:t>also prevail</w:t>
            </w:r>
            <w:r w:rsidRPr="00B459EC">
              <w:rPr>
                <w:rFonts w:ascii="Helvetica" w:hAnsi="Helvetica" w:cs="Helvetica"/>
                <w:sz w:val="20"/>
                <w:szCs w:val="20"/>
              </w:rPr>
              <w:t>;</w:t>
            </w:r>
          </w:p>
          <w:p w14:paraId="10B6142A" w14:textId="77777777" w:rsidR="00C86F61" w:rsidRPr="00B459EC" w:rsidRDefault="00C86F61" w:rsidP="00B459EC">
            <w:pPr>
              <w:spacing w:line="360" w:lineRule="auto"/>
              <w:rPr>
                <w:rFonts w:ascii="Helvetica" w:hAnsi="Helvetica" w:cs="Helvetica"/>
                <w:sz w:val="20"/>
                <w:szCs w:val="20"/>
              </w:rPr>
            </w:pPr>
          </w:p>
          <w:p w14:paraId="54F9199F" w14:textId="77777777" w:rsidR="00C86F61" w:rsidRPr="00B459EC" w:rsidRDefault="00C86F61"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2. The Bank of Tanzania </w:t>
            </w:r>
            <w:r w:rsidR="00FB5289" w:rsidRPr="00B459EC">
              <w:rPr>
                <w:rFonts w:ascii="Helvetica" w:hAnsi="Helvetica" w:cs="Helvetica"/>
                <w:sz w:val="20"/>
                <w:szCs w:val="20"/>
              </w:rPr>
              <w:t xml:space="preserve">cannot </w:t>
            </w:r>
            <w:r w:rsidRPr="00B459EC">
              <w:rPr>
                <w:rFonts w:ascii="Helvetica" w:hAnsi="Helvetica" w:cs="Helvetica"/>
                <w:sz w:val="20"/>
                <w:szCs w:val="20"/>
              </w:rPr>
              <w:t>exhaustive</w:t>
            </w:r>
            <w:r w:rsidR="00FB5289" w:rsidRPr="00B459EC">
              <w:rPr>
                <w:rFonts w:ascii="Helvetica" w:hAnsi="Helvetica" w:cs="Helvetica"/>
                <w:sz w:val="20"/>
                <w:szCs w:val="20"/>
              </w:rPr>
              <w:t>ly provide a</w:t>
            </w:r>
            <w:r w:rsidRPr="00B459EC">
              <w:rPr>
                <w:rFonts w:ascii="Helvetica" w:hAnsi="Helvetica" w:cs="Helvetica"/>
                <w:sz w:val="20"/>
                <w:szCs w:val="20"/>
              </w:rPr>
              <w:t xml:space="preserve"> list of non-mission-critical systems</w:t>
            </w:r>
            <w:r w:rsidR="007B58D5" w:rsidRPr="00B459EC">
              <w:rPr>
                <w:rFonts w:ascii="Helvetica" w:hAnsi="Helvetica" w:cs="Helvetica"/>
                <w:sz w:val="20"/>
                <w:szCs w:val="20"/>
              </w:rPr>
              <w:t>;</w:t>
            </w:r>
          </w:p>
          <w:p w14:paraId="3DB7B6C1" w14:textId="77777777" w:rsidR="007B58D5" w:rsidRPr="00B459EC" w:rsidRDefault="007B58D5" w:rsidP="00B459EC">
            <w:pPr>
              <w:spacing w:line="360" w:lineRule="auto"/>
              <w:jc w:val="both"/>
              <w:rPr>
                <w:rFonts w:ascii="Helvetica" w:hAnsi="Helvetica" w:cs="Helvetica"/>
                <w:sz w:val="20"/>
                <w:szCs w:val="20"/>
              </w:rPr>
            </w:pPr>
          </w:p>
          <w:p w14:paraId="187CD256" w14:textId="77777777" w:rsidR="000C0977" w:rsidRPr="00B459EC" w:rsidRDefault="007B58D5"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3. </w:t>
            </w:r>
            <w:r w:rsidR="000C0977" w:rsidRPr="00B459EC">
              <w:rPr>
                <w:rFonts w:ascii="Helvetica" w:hAnsi="Helvetica" w:cs="Helvetica"/>
                <w:sz w:val="20"/>
                <w:szCs w:val="20"/>
              </w:rPr>
              <w:t>Regulation 42 of the Payment Systems (Licensing and Approval) Regulations, 2015 provides that a payment system provider shall place its primary data center in relation to payment system services in Tanzania.</w:t>
            </w:r>
          </w:p>
          <w:p w14:paraId="6D4A207E" w14:textId="77777777" w:rsidR="000C0977" w:rsidRPr="00B459EC" w:rsidRDefault="000C0977" w:rsidP="00B459EC">
            <w:pPr>
              <w:spacing w:line="360" w:lineRule="auto"/>
              <w:jc w:val="both"/>
              <w:rPr>
                <w:rFonts w:ascii="Helvetica" w:hAnsi="Helvetica" w:cs="Helvetica"/>
                <w:sz w:val="20"/>
                <w:szCs w:val="20"/>
              </w:rPr>
            </w:pPr>
          </w:p>
          <w:p w14:paraId="75D82649" w14:textId="76C7E286" w:rsidR="007B58D5" w:rsidRPr="00B459EC" w:rsidRDefault="000C0977" w:rsidP="00B459EC">
            <w:pPr>
              <w:spacing w:line="360" w:lineRule="auto"/>
              <w:jc w:val="both"/>
              <w:rPr>
                <w:rFonts w:ascii="Helvetica" w:hAnsi="Helvetica" w:cs="Helvetica"/>
                <w:sz w:val="20"/>
                <w:szCs w:val="20"/>
              </w:rPr>
            </w:pPr>
            <w:r w:rsidRPr="00B459EC">
              <w:rPr>
                <w:rFonts w:ascii="Helvetica" w:hAnsi="Helvetica" w:cs="Helvetica"/>
                <w:sz w:val="20"/>
                <w:szCs w:val="20"/>
              </w:rPr>
              <w:t>Further, Guideline 10(g) of the Outsourcing Guidelines for Banks and Financial Institutions, 2021 provides that banks and financial institutions shall not outsource Primary data centre outside the country.</w:t>
            </w:r>
          </w:p>
        </w:tc>
        <w:tc>
          <w:tcPr>
            <w:tcW w:w="2136" w:type="dxa"/>
          </w:tcPr>
          <w:p w14:paraId="4C492A02" w14:textId="6B33F981" w:rsidR="00C86F61" w:rsidRPr="00B459EC" w:rsidRDefault="00D4699E" w:rsidP="00B459EC">
            <w:pPr>
              <w:spacing w:line="360" w:lineRule="auto"/>
              <w:jc w:val="both"/>
              <w:rPr>
                <w:rFonts w:ascii="Helvetica" w:hAnsi="Helvetica" w:cs="Helvetica"/>
                <w:sz w:val="20"/>
                <w:szCs w:val="20"/>
              </w:rPr>
            </w:pPr>
            <w:r w:rsidRPr="00D4699E">
              <w:rPr>
                <w:rFonts w:ascii="Helvetica" w:hAnsi="Helvetica" w:cs="Helvetica"/>
                <w:sz w:val="20"/>
                <w:szCs w:val="20"/>
              </w:rPr>
              <w:lastRenderedPageBreak/>
              <w:t xml:space="preserve">A non-mission critical system refers to a system that is not essential to the core operations or survival of a financial service provider. Its failure or interruption does not significantly impact business continuity. </w:t>
            </w:r>
            <w:r w:rsidRPr="00D4699E">
              <w:rPr>
                <w:rFonts w:ascii="Helvetica" w:hAnsi="Helvetica" w:cs="Helvetica"/>
                <w:sz w:val="20"/>
                <w:szCs w:val="20"/>
              </w:rPr>
              <w:lastRenderedPageBreak/>
              <w:t>These systems typically support auxiliary functions.</w:t>
            </w:r>
          </w:p>
        </w:tc>
      </w:tr>
      <w:tr w:rsidR="00BC21C4" w:rsidRPr="00B459EC" w14:paraId="72FFC160" w14:textId="2DDD6C04" w:rsidTr="009D06EA">
        <w:tc>
          <w:tcPr>
            <w:tcW w:w="540" w:type="dxa"/>
          </w:tcPr>
          <w:p w14:paraId="742DBE87" w14:textId="77777777" w:rsidR="00BE42B1" w:rsidRPr="00B459EC" w:rsidRDefault="00BE42B1" w:rsidP="00B459EC">
            <w:pPr>
              <w:spacing w:line="360" w:lineRule="auto"/>
              <w:rPr>
                <w:rFonts w:ascii="Helvetica" w:hAnsi="Helvetica" w:cs="Helvetica"/>
                <w:sz w:val="20"/>
                <w:szCs w:val="20"/>
              </w:rPr>
            </w:pPr>
          </w:p>
        </w:tc>
        <w:tc>
          <w:tcPr>
            <w:tcW w:w="2790" w:type="dxa"/>
          </w:tcPr>
          <w:p w14:paraId="242322EE" w14:textId="524D2268" w:rsidR="00BE42B1" w:rsidRPr="00B459EC" w:rsidRDefault="00BE42B1" w:rsidP="00B459EC">
            <w:pPr>
              <w:spacing w:line="360" w:lineRule="auto"/>
              <w:jc w:val="both"/>
              <w:rPr>
                <w:rFonts w:ascii="Helvetica" w:hAnsi="Helvetica" w:cs="Helvetica"/>
                <w:sz w:val="20"/>
                <w:szCs w:val="20"/>
              </w:rPr>
            </w:pPr>
          </w:p>
        </w:tc>
        <w:tc>
          <w:tcPr>
            <w:tcW w:w="2790" w:type="dxa"/>
          </w:tcPr>
          <w:p w14:paraId="4559E359" w14:textId="77777777" w:rsidR="00BE42B1" w:rsidRPr="00B459EC" w:rsidRDefault="00BE42B1" w:rsidP="00B459EC">
            <w:pPr>
              <w:spacing w:line="360" w:lineRule="auto"/>
              <w:jc w:val="both"/>
              <w:rPr>
                <w:rFonts w:ascii="Helvetica" w:hAnsi="Helvetica" w:cs="Helvetica"/>
                <w:sz w:val="20"/>
                <w:szCs w:val="20"/>
              </w:rPr>
            </w:pPr>
          </w:p>
        </w:tc>
        <w:tc>
          <w:tcPr>
            <w:tcW w:w="2430" w:type="dxa"/>
          </w:tcPr>
          <w:p w14:paraId="716A6884" w14:textId="77777777" w:rsidR="00BE42B1" w:rsidRPr="00B459EC" w:rsidRDefault="00BE42B1" w:rsidP="00B459EC">
            <w:pPr>
              <w:spacing w:line="360" w:lineRule="auto"/>
              <w:jc w:val="both"/>
              <w:rPr>
                <w:rFonts w:ascii="Helvetica" w:hAnsi="Helvetica" w:cs="Helvetica"/>
                <w:sz w:val="20"/>
                <w:szCs w:val="20"/>
              </w:rPr>
            </w:pPr>
          </w:p>
        </w:tc>
        <w:tc>
          <w:tcPr>
            <w:tcW w:w="2136" w:type="dxa"/>
          </w:tcPr>
          <w:p w14:paraId="22858E67" w14:textId="77777777" w:rsidR="00BE42B1" w:rsidRPr="00B459EC" w:rsidRDefault="00BE42B1" w:rsidP="00B459EC">
            <w:pPr>
              <w:spacing w:line="360" w:lineRule="auto"/>
              <w:jc w:val="both"/>
              <w:rPr>
                <w:rFonts w:ascii="Helvetica" w:hAnsi="Helvetica" w:cs="Helvetica"/>
                <w:sz w:val="20"/>
                <w:szCs w:val="20"/>
              </w:rPr>
            </w:pPr>
          </w:p>
        </w:tc>
      </w:tr>
      <w:tr w:rsidR="00BC21C4" w:rsidRPr="00B459EC" w14:paraId="1E20468A" w14:textId="78B4BAB0" w:rsidTr="009D06EA">
        <w:tc>
          <w:tcPr>
            <w:tcW w:w="540" w:type="dxa"/>
          </w:tcPr>
          <w:p w14:paraId="238E060C" w14:textId="77777777" w:rsidR="00BE42B1" w:rsidRPr="00B459EC" w:rsidRDefault="00BE42B1" w:rsidP="00B459EC">
            <w:pPr>
              <w:pStyle w:val="Heading1"/>
              <w:spacing w:before="0" w:line="360" w:lineRule="auto"/>
              <w:outlineLvl w:val="0"/>
              <w:rPr>
                <w:rFonts w:ascii="Helvetica" w:hAnsi="Helvetica" w:cs="Helvetica"/>
                <w:b/>
                <w:color w:val="auto"/>
                <w:sz w:val="20"/>
                <w:szCs w:val="20"/>
              </w:rPr>
            </w:pPr>
          </w:p>
        </w:tc>
        <w:tc>
          <w:tcPr>
            <w:tcW w:w="2790" w:type="dxa"/>
          </w:tcPr>
          <w:p w14:paraId="58AA7390" w14:textId="19F33D94"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bookmarkStart w:id="4" w:name="_Toc150264748"/>
            <w:r w:rsidRPr="00B459EC">
              <w:rPr>
                <w:rFonts w:ascii="Helvetica" w:hAnsi="Helvetica" w:cs="Helvetica"/>
                <w:b/>
                <w:color w:val="auto"/>
                <w:sz w:val="20"/>
                <w:szCs w:val="20"/>
              </w:rPr>
              <w:t>PART II</w:t>
            </w:r>
            <w:bookmarkEnd w:id="4"/>
            <w:r w:rsidRPr="00B459EC">
              <w:rPr>
                <w:rFonts w:ascii="Helvetica" w:hAnsi="Helvetica" w:cs="Helvetica"/>
                <w:b/>
                <w:color w:val="auto"/>
                <w:sz w:val="20"/>
                <w:szCs w:val="20"/>
              </w:rPr>
              <w:t xml:space="preserve"> </w:t>
            </w:r>
          </w:p>
        </w:tc>
        <w:tc>
          <w:tcPr>
            <w:tcW w:w="2790" w:type="dxa"/>
          </w:tcPr>
          <w:p w14:paraId="02BEC1B9"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430" w:type="dxa"/>
          </w:tcPr>
          <w:p w14:paraId="04A6699F"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136" w:type="dxa"/>
          </w:tcPr>
          <w:p w14:paraId="486AF7C2"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r>
      <w:tr w:rsidR="00BC21C4" w:rsidRPr="00B459EC" w14:paraId="1F450A22" w14:textId="4AAFB733" w:rsidTr="009D06EA">
        <w:tc>
          <w:tcPr>
            <w:tcW w:w="540" w:type="dxa"/>
          </w:tcPr>
          <w:p w14:paraId="58C533AD" w14:textId="77777777" w:rsidR="00BE42B1" w:rsidRPr="00B459EC" w:rsidRDefault="00BE42B1" w:rsidP="00B459EC">
            <w:pPr>
              <w:pStyle w:val="Heading2"/>
              <w:spacing w:before="0" w:line="360" w:lineRule="auto"/>
              <w:outlineLvl w:val="1"/>
              <w:rPr>
                <w:rFonts w:ascii="Helvetica" w:hAnsi="Helvetica" w:cs="Helvetica"/>
                <w:b/>
                <w:color w:val="000000" w:themeColor="text1"/>
                <w:sz w:val="20"/>
                <w:szCs w:val="20"/>
              </w:rPr>
            </w:pPr>
          </w:p>
        </w:tc>
        <w:tc>
          <w:tcPr>
            <w:tcW w:w="2790" w:type="dxa"/>
          </w:tcPr>
          <w:p w14:paraId="573ECCD6" w14:textId="1A8AC571"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bookmarkStart w:id="5" w:name="_Toc150264749"/>
            <w:r w:rsidRPr="00B459EC">
              <w:rPr>
                <w:rFonts w:ascii="Helvetica" w:hAnsi="Helvetica" w:cs="Helvetica"/>
                <w:b/>
                <w:color w:val="000000" w:themeColor="text1"/>
                <w:sz w:val="20"/>
                <w:szCs w:val="20"/>
              </w:rPr>
              <w:t>Evaluation Criteria for Approval</w:t>
            </w:r>
            <w:bookmarkEnd w:id="5"/>
          </w:p>
        </w:tc>
        <w:tc>
          <w:tcPr>
            <w:tcW w:w="2790" w:type="dxa"/>
          </w:tcPr>
          <w:p w14:paraId="73323AFB"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430" w:type="dxa"/>
          </w:tcPr>
          <w:p w14:paraId="3E613D03"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136" w:type="dxa"/>
          </w:tcPr>
          <w:p w14:paraId="521404AE"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r>
      <w:tr w:rsidR="00BC21C4" w:rsidRPr="00B459EC" w14:paraId="10259226" w14:textId="6504694A" w:rsidTr="009D06EA">
        <w:tc>
          <w:tcPr>
            <w:tcW w:w="540" w:type="dxa"/>
          </w:tcPr>
          <w:p w14:paraId="10FA80A8" w14:textId="77777777" w:rsidR="00C86F61" w:rsidRPr="00B459EC" w:rsidRDefault="00C86F61" w:rsidP="00B459EC">
            <w:pPr>
              <w:spacing w:line="360" w:lineRule="auto"/>
              <w:rPr>
                <w:rFonts w:ascii="Helvetica" w:hAnsi="Helvetica" w:cs="Helvetica"/>
                <w:sz w:val="20"/>
                <w:szCs w:val="20"/>
              </w:rPr>
            </w:pPr>
          </w:p>
        </w:tc>
        <w:tc>
          <w:tcPr>
            <w:tcW w:w="2790" w:type="dxa"/>
          </w:tcPr>
          <w:p w14:paraId="36A26C68" w14:textId="205C5375" w:rsidR="00C86F61" w:rsidRPr="00B459EC" w:rsidRDefault="00C86F6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 financial service provider that is planning to adopt cloud computing for non-mission critical system or is planning to vary any cloud computing arrangement shall seek prior written approval of the Bank.</w:t>
            </w:r>
          </w:p>
        </w:tc>
        <w:tc>
          <w:tcPr>
            <w:tcW w:w="2790" w:type="dxa"/>
          </w:tcPr>
          <w:p w14:paraId="6ABC282A" w14:textId="6491E4DD" w:rsidR="00C86F61" w:rsidRPr="00B459EC" w:rsidRDefault="00C86F61" w:rsidP="00B459EC">
            <w:pPr>
              <w:spacing w:line="360" w:lineRule="auto"/>
              <w:jc w:val="both"/>
              <w:rPr>
                <w:rFonts w:ascii="Helvetica" w:eastAsia="Times New Roman" w:hAnsi="Helvetica" w:cs="Helvetica"/>
                <w:sz w:val="20"/>
                <w:szCs w:val="20"/>
                <w:lang w:eastAsia="en-GB"/>
              </w:rPr>
            </w:pPr>
            <w:r w:rsidRPr="00B459EC">
              <w:rPr>
                <w:rFonts w:ascii="Helvetica" w:eastAsia="Times New Roman" w:hAnsi="Helvetica" w:cs="Helvetica"/>
                <w:sz w:val="20"/>
                <w:szCs w:val="20"/>
                <w:lang w:eastAsia="en-GB"/>
              </w:rPr>
              <w:t>Provided that the system is identified to be non-mission critical via clear process / criteria; we suggest that Financial Institutions to only send notification for adopting cloud computing for the non-mission critical system. Approval process is likely to have delays that will hold up the Financial Service Provider to get the benefits of cloud computing system in time.</w:t>
            </w:r>
            <w:r w:rsidRPr="00B459EC">
              <w:rPr>
                <w:rFonts w:ascii="Helvetica" w:eastAsia="Times New Roman" w:hAnsi="Helvetica" w:cs="Helvetica"/>
                <w:sz w:val="20"/>
                <w:szCs w:val="20"/>
                <w:lang w:eastAsia="en-GB"/>
              </w:rPr>
              <w:br/>
            </w:r>
            <w:r w:rsidRPr="00B459EC">
              <w:rPr>
                <w:rFonts w:ascii="Helvetica" w:eastAsia="Times New Roman" w:hAnsi="Helvetica" w:cs="Helvetica"/>
                <w:sz w:val="20"/>
                <w:szCs w:val="20"/>
                <w:lang w:eastAsia="en-GB"/>
              </w:rPr>
              <w:br/>
              <w:t>Also, such identified non-mission critical systems can be made available to the banks so that they are known for their proper action.</w:t>
            </w:r>
          </w:p>
          <w:p w14:paraId="4C05E78C" w14:textId="5123F931" w:rsidR="00C86F61" w:rsidRPr="00B459EC" w:rsidRDefault="00C86F61" w:rsidP="00B459EC">
            <w:pPr>
              <w:spacing w:line="360" w:lineRule="auto"/>
              <w:jc w:val="both"/>
              <w:rPr>
                <w:rFonts w:ascii="Helvetica" w:eastAsia="Times New Roman" w:hAnsi="Helvetica" w:cs="Helvetica"/>
                <w:sz w:val="20"/>
                <w:szCs w:val="20"/>
                <w:lang w:eastAsia="en-GB"/>
              </w:rPr>
            </w:pPr>
          </w:p>
          <w:p w14:paraId="6C1BA30A" w14:textId="5DA88DDF" w:rsidR="00C86F61" w:rsidRPr="00B459EC" w:rsidRDefault="00C86F61" w:rsidP="00B459EC">
            <w:pPr>
              <w:spacing w:line="360" w:lineRule="auto"/>
              <w:jc w:val="both"/>
              <w:rPr>
                <w:rFonts w:ascii="Helvetica" w:eastAsia="Times New Roman" w:hAnsi="Helvetica" w:cs="Helvetica"/>
                <w:sz w:val="20"/>
                <w:szCs w:val="20"/>
                <w:lang w:eastAsia="en-GB"/>
              </w:rPr>
            </w:pPr>
          </w:p>
          <w:p w14:paraId="26577D1A" w14:textId="53C0D3D6" w:rsidR="00C86F61" w:rsidRPr="00B459EC" w:rsidRDefault="00C86F61" w:rsidP="00B459EC">
            <w:pPr>
              <w:spacing w:line="360" w:lineRule="auto"/>
              <w:jc w:val="both"/>
              <w:rPr>
                <w:rFonts w:ascii="Helvetica" w:eastAsia="Times New Roman" w:hAnsi="Helvetica" w:cs="Helvetica"/>
                <w:sz w:val="20"/>
                <w:szCs w:val="20"/>
                <w:lang w:eastAsia="en-GB"/>
              </w:rPr>
            </w:pPr>
          </w:p>
          <w:p w14:paraId="278B9C8C" w14:textId="77777777" w:rsidR="00C86F61" w:rsidRPr="00B459EC" w:rsidRDefault="00C86F61" w:rsidP="00B459EC">
            <w:pPr>
              <w:spacing w:line="360" w:lineRule="auto"/>
              <w:jc w:val="both"/>
              <w:rPr>
                <w:rFonts w:ascii="Helvetica" w:eastAsia="Times New Roman" w:hAnsi="Helvetica" w:cs="Helvetica"/>
                <w:sz w:val="20"/>
                <w:szCs w:val="20"/>
                <w:lang w:eastAsia="en-GB"/>
              </w:rPr>
            </w:pPr>
          </w:p>
          <w:p w14:paraId="50E6AE66" w14:textId="77777777" w:rsidR="00C86F61" w:rsidRPr="00B459EC" w:rsidRDefault="00C86F61" w:rsidP="00B459EC">
            <w:pPr>
              <w:spacing w:line="360" w:lineRule="auto"/>
              <w:jc w:val="both"/>
              <w:rPr>
                <w:rFonts w:ascii="Helvetica" w:hAnsi="Helvetica" w:cs="Helvetica"/>
                <w:sz w:val="20"/>
                <w:szCs w:val="20"/>
              </w:rPr>
            </w:pPr>
          </w:p>
          <w:p w14:paraId="0587C74E" w14:textId="10AE4CA7" w:rsidR="00C86F61" w:rsidRPr="00B459EC" w:rsidRDefault="00EE2A80" w:rsidP="00B459EC">
            <w:pPr>
              <w:spacing w:line="360" w:lineRule="auto"/>
              <w:jc w:val="both"/>
              <w:rPr>
                <w:rFonts w:ascii="Helvetica" w:eastAsia="Times New Roman" w:hAnsi="Helvetica" w:cs="Helvetica"/>
                <w:sz w:val="20"/>
                <w:szCs w:val="20"/>
                <w:lang w:eastAsia="en-GB"/>
              </w:rPr>
            </w:pPr>
            <w:r>
              <w:rPr>
                <w:rFonts w:ascii="Helvetica" w:eastAsia="Times New Roman" w:hAnsi="Helvetica" w:cs="Helvetica"/>
                <w:sz w:val="20"/>
                <w:szCs w:val="20"/>
                <w:lang w:eastAsia="en-GB"/>
              </w:rPr>
              <w:t>It was</w:t>
            </w:r>
            <w:r w:rsidRPr="00B459EC">
              <w:rPr>
                <w:rFonts w:ascii="Helvetica" w:eastAsia="Times New Roman" w:hAnsi="Helvetica" w:cs="Helvetica"/>
                <w:sz w:val="20"/>
                <w:szCs w:val="20"/>
                <w:lang w:eastAsia="en-GB"/>
              </w:rPr>
              <w:t xml:space="preserve"> </w:t>
            </w:r>
            <w:r w:rsidR="00C86F61" w:rsidRPr="00B459EC">
              <w:rPr>
                <w:rFonts w:ascii="Helvetica" w:eastAsia="Times New Roman" w:hAnsi="Helvetica" w:cs="Helvetica"/>
                <w:sz w:val="20"/>
                <w:szCs w:val="20"/>
                <w:lang w:eastAsia="en-GB"/>
              </w:rPr>
              <w:t>also note</w:t>
            </w:r>
            <w:r>
              <w:rPr>
                <w:rFonts w:ascii="Helvetica" w:eastAsia="Times New Roman" w:hAnsi="Helvetica" w:cs="Helvetica"/>
                <w:sz w:val="20"/>
                <w:szCs w:val="20"/>
                <w:lang w:eastAsia="en-GB"/>
              </w:rPr>
              <w:t>d</w:t>
            </w:r>
            <w:r w:rsidR="00C86F61" w:rsidRPr="00B459EC">
              <w:rPr>
                <w:rFonts w:ascii="Helvetica" w:eastAsia="Times New Roman" w:hAnsi="Helvetica" w:cs="Helvetica"/>
                <w:sz w:val="20"/>
                <w:szCs w:val="20"/>
                <w:lang w:eastAsia="en-GB"/>
              </w:rPr>
              <w:t xml:space="preserve"> that</w:t>
            </w:r>
            <w:r>
              <w:rPr>
                <w:rFonts w:ascii="Helvetica" w:eastAsia="Times New Roman" w:hAnsi="Helvetica" w:cs="Helvetica"/>
                <w:sz w:val="20"/>
                <w:szCs w:val="20"/>
                <w:lang w:eastAsia="en-GB"/>
              </w:rPr>
              <w:t xml:space="preserve"> some of the</w:t>
            </w:r>
            <w:r w:rsidR="00C86F61" w:rsidRPr="00B459EC">
              <w:rPr>
                <w:rFonts w:ascii="Helvetica" w:eastAsia="Times New Roman" w:hAnsi="Helvetica" w:cs="Helvetica"/>
                <w:sz w:val="20"/>
                <w:szCs w:val="20"/>
                <w:lang w:eastAsia="en-GB"/>
              </w:rPr>
              <w:t xml:space="preserve"> </w:t>
            </w:r>
            <w:r w:rsidRPr="00EE2A80">
              <w:rPr>
                <w:rFonts w:ascii="Helvetica" w:eastAsia="Times New Roman" w:hAnsi="Helvetica" w:cs="Helvetica"/>
                <w:sz w:val="20"/>
                <w:szCs w:val="20"/>
                <w:lang w:eastAsia="en-GB"/>
              </w:rPr>
              <w:t xml:space="preserve">Financial Service Providers </w:t>
            </w:r>
            <w:r w:rsidR="00C86F61" w:rsidRPr="00B459EC">
              <w:rPr>
                <w:rFonts w:ascii="Helvetica" w:eastAsia="Times New Roman" w:hAnsi="Helvetica" w:cs="Helvetica"/>
                <w:sz w:val="20"/>
                <w:szCs w:val="20"/>
                <w:lang w:eastAsia="en-GB"/>
              </w:rPr>
              <w:t xml:space="preserve">already had several systems and applications that were hosted on cloud prior to the issue of </w:t>
            </w:r>
            <w:r w:rsidR="00C86F61" w:rsidRPr="00B459EC">
              <w:rPr>
                <w:rFonts w:ascii="Helvetica" w:eastAsia="Times New Roman" w:hAnsi="Helvetica" w:cs="Helvetica"/>
                <w:sz w:val="20"/>
                <w:szCs w:val="20"/>
                <w:lang w:eastAsia="en-GB"/>
              </w:rPr>
              <w:lastRenderedPageBreak/>
              <w:t xml:space="preserve">the guidelines. These systems are currently in use. </w:t>
            </w:r>
          </w:p>
          <w:p w14:paraId="4A341B8F" w14:textId="44F5B2B5" w:rsidR="00C86F61" w:rsidRPr="00B459EC" w:rsidRDefault="00C86F61" w:rsidP="00B459EC">
            <w:pPr>
              <w:spacing w:line="360" w:lineRule="auto"/>
              <w:jc w:val="both"/>
              <w:rPr>
                <w:rFonts w:ascii="Helvetica" w:hAnsi="Helvetica" w:cs="Helvetica"/>
                <w:sz w:val="20"/>
                <w:szCs w:val="20"/>
              </w:rPr>
            </w:pPr>
            <w:r w:rsidRPr="00B459EC">
              <w:rPr>
                <w:rFonts w:ascii="Helvetica" w:eastAsia="Times New Roman" w:hAnsi="Helvetica" w:cs="Helvetica"/>
                <w:sz w:val="20"/>
                <w:szCs w:val="20"/>
                <w:lang w:eastAsia="en-GB"/>
              </w:rPr>
              <w:t>We are ready to provide a list of the systems/ applications and what they do for further discussions.</w:t>
            </w:r>
          </w:p>
        </w:tc>
        <w:tc>
          <w:tcPr>
            <w:tcW w:w="2430" w:type="dxa"/>
          </w:tcPr>
          <w:p w14:paraId="0B69A222" w14:textId="77777777" w:rsidR="00835696" w:rsidRPr="00835696" w:rsidRDefault="00C86F61" w:rsidP="00835696">
            <w:pPr>
              <w:spacing w:line="360" w:lineRule="auto"/>
              <w:jc w:val="both"/>
              <w:rPr>
                <w:rFonts w:ascii="Helvetica" w:hAnsi="Helvetica" w:cs="Helvetica"/>
                <w:sz w:val="20"/>
                <w:szCs w:val="20"/>
              </w:rPr>
            </w:pPr>
            <w:r w:rsidRPr="00B459EC">
              <w:rPr>
                <w:rFonts w:ascii="Helvetica" w:hAnsi="Helvetica" w:cs="Helvetica"/>
                <w:sz w:val="20"/>
                <w:szCs w:val="20"/>
              </w:rPr>
              <w:lastRenderedPageBreak/>
              <w:t xml:space="preserve">1. </w:t>
            </w:r>
            <w:r w:rsidR="00835696" w:rsidRPr="00835696">
              <w:rPr>
                <w:rFonts w:ascii="Helvetica" w:hAnsi="Helvetica" w:cs="Helvetica"/>
                <w:sz w:val="20"/>
                <w:szCs w:val="20"/>
              </w:rPr>
              <w:t>Financial Service Providers (FSPs) seeking prior approval is essential, as such review requests enable the Bank of Tanzania to reassess the risks associated with the adoption of cloud computing before the FSP enters into a contract with a Cloud Service Provider.</w:t>
            </w:r>
          </w:p>
          <w:p w14:paraId="1B7EA78C" w14:textId="77777777" w:rsidR="00A748D4" w:rsidRDefault="00835696" w:rsidP="00835696">
            <w:pPr>
              <w:spacing w:line="360" w:lineRule="auto"/>
              <w:jc w:val="both"/>
              <w:rPr>
                <w:rFonts w:ascii="Helvetica" w:hAnsi="Helvetica" w:cs="Helvetica"/>
                <w:sz w:val="20"/>
                <w:szCs w:val="20"/>
              </w:rPr>
            </w:pPr>
            <w:r w:rsidRPr="00835696">
              <w:rPr>
                <w:rFonts w:ascii="Helvetica" w:hAnsi="Helvetica" w:cs="Helvetica"/>
                <w:sz w:val="20"/>
                <w:szCs w:val="20"/>
              </w:rPr>
              <w:t>This process helps prevent potential costs arising from contract termination due to unforeseen regulatory or risk concerns.</w:t>
            </w:r>
          </w:p>
          <w:p w14:paraId="0F1C4D3F" w14:textId="109331C0" w:rsidR="00C86F61" w:rsidRPr="00B459EC" w:rsidRDefault="00A748D4" w:rsidP="00835696">
            <w:pPr>
              <w:spacing w:line="360" w:lineRule="auto"/>
              <w:jc w:val="both"/>
              <w:rPr>
                <w:rFonts w:ascii="Helvetica" w:hAnsi="Helvetica" w:cs="Helvetica"/>
                <w:sz w:val="20"/>
                <w:szCs w:val="20"/>
              </w:rPr>
            </w:pPr>
            <w:r w:rsidRPr="00A748D4">
              <w:rPr>
                <w:rFonts w:ascii="Helvetica" w:hAnsi="Helvetica" w:cs="Helvetica"/>
                <w:sz w:val="20"/>
                <w:szCs w:val="20"/>
              </w:rPr>
              <w:t>Furthermore, the Bank should ensure timely responses to FSPs’ approval requests, in accordance with its established turnaround time, to enable FSPs to realize the benefits of cloud computing sys</w:t>
            </w:r>
            <w:r>
              <w:rPr>
                <w:rFonts w:ascii="Helvetica" w:hAnsi="Helvetica" w:cs="Helvetica"/>
                <w:sz w:val="20"/>
                <w:szCs w:val="20"/>
              </w:rPr>
              <w:t>tems without unnecessary delays</w:t>
            </w:r>
            <w:r w:rsidR="00C86F61" w:rsidRPr="00B459EC">
              <w:rPr>
                <w:rFonts w:ascii="Helvetica" w:hAnsi="Helvetica" w:cs="Helvetica"/>
                <w:sz w:val="20"/>
                <w:szCs w:val="20"/>
              </w:rPr>
              <w:t>;</w:t>
            </w:r>
          </w:p>
          <w:p w14:paraId="4BCC1C8A" w14:textId="77777777" w:rsidR="00C86F61" w:rsidRPr="00B459EC" w:rsidRDefault="00C86F61" w:rsidP="00B459EC">
            <w:pPr>
              <w:spacing w:line="360" w:lineRule="auto"/>
              <w:jc w:val="both"/>
              <w:rPr>
                <w:rFonts w:ascii="Helvetica" w:hAnsi="Helvetica" w:cs="Helvetica"/>
                <w:sz w:val="20"/>
                <w:szCs w:val="20"/>
              </w:rPr>
            </w:pPr>
          </w:p>
          <w:p w14:paraId="706FABE0" w14:textId="77777777" w:rsidR="00C86F61" w:rsidRPr="00B459EC" w:rsidRDefault="00C86F61" w:rsidP="00B459EC">
            <w:pPr>
              <w:spacing w:line="360" w:lineRule="auto"/>
              <w:jc w:val="both"/>
              <w:rPr>
                <w:rFonts w:ascii="Helvetica" w:hAnsi="Helvetica" w:cs="Helvetica"/>
                <w:sz w:val="20"/>
                <w:szCs w:val="20"/>
              </w:rPr>
            </w:pPr>
            <w:r w:rsidRPr="00B459EC">
              <w:rPr>
                <w:rFonts w:ascii="Helvetica" w:hAnsi="Helvetica" w:cs="Helvetica"/>
                <w:sz w:val="20"/>
                <w:szCs w:val="20"/>
              </w:rPr>
              <w:lastRenderedPageBreak/>
              <w:t>2. The Cloud Computing Guidelines were designed for non-mission critical systems, and hosting mission-critical systems in the cloud is prohibited. Therefore, allowing banks to continue hosting non-mission critical systems in the cloud without seeking approval could be interpreted as an intention to revoke the Guidelines;</w:t>
            </w:r>
          </w:p>
          <w:p w14:paraId="0721B71A" w14:textId="77777777" w:rsidR="00C86F61" w:rsidRPr="00B459EC" w:rsidRDefault="00C86F61" w:rsidP="00B459EC">
            <w:pPr>
              <w:spacing w:line="360" w:lineRule="auto"/>
              <w:jc w:val="both"/>
              <w:rPr>
                <w:rFonts w:ascii="Helvetica" w:hAnsi="Helvetica" w:cs="Helvetica"/>
                <w:sz w:val="20"/>
                <w:szCs w:val="20"/>
              </w:rPr>
            </w:pPr>
          </w:p>
          <w:p w14:paraId="2DEE914F" w14:textId="20C63486" w:rsidR="00C86F61" w:rsidRPr="00B459EC" w:rsidRDefault="00C86F61"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3. </w:t>
            </w:r>
            <w:r w:rsidR="00042C35" w:rsidRPr="00B459EC">
              <w:rPr>
                <w:rFonts w:ascii="Helvetica" w:hAnsi="Helvetica" w:cs="Helvetica"/>
                <w:sz w:val="20"/>
                <w:szCs w:val="20"/>
              </w:rPr>
              <w:t>Added guideline 10 to cater for transition arrangement for financial service providers who adopted cloud computing prior to issuance of the Guidelines.</w:t>
            </w:r>
          </w:p>
        </w:tc>
        <w:tc>
          <w:tcPr>
            <w:tcW w:w="2136" w:type="dxa"/>
          </w:tcPr>
          <w:p w14:paraId="4E68773F" w14:textId="77777777" w:rsidR="0009173F" w:rsidRPr="00B459EC" w:rsidRDefault="0009173F" w:rsidP="00B459EC">
            <w:pPr>
              <w:spacing w:line="360" w:lineRule="auto"/>
              <w:jc w:val="both"/>
              <w:rPr>
                <w:rFonts w:ascii="Helvetica" w:hAnsi="Helvetica" w:cs="Helvetica"/>
                <w:sz w:val="20"/>
                <w:szCs w:val="20"/>
              </w:rPr>
            </w:pPr>
          </w:p>
          <w:p w14:paraId="7A092F83" w14:textId="77777777" w:rsidR="0009173F" w:rsidRPr="00B459EC" w:rsidRDefault="0009173F" w:rsidP="00B459EC">
            <w:pPr>
              <w:spacing w:line="360" w:lineRule="auto"/>
              <w:jc w:val="both"/>
              <w:rPr>
                <w:rFonts w:ascii="Helvetica" w:hAnsi="Helvetica" w:cs="Helvetica"/>
                <w:sz w:val="20"/>
                <w:szCs w:val="20"/>
              </w:rPr>
            </w:pPr>
          </w:p>
          <w:p w14:paraId="4C3C4BFE" w14:textId="77777777" w:rsidR="0009173F" w:rsidRPr="00B459EC" w:rsidRDefault="0009173F" w:rsidP="00B459EC">
            <w:pPr>
              <w:spacing w:line="360" w:lineRule="auto"/>
              <w:jc w:val="both"/>
              <w:rPr>
                <w:rFonts w:ascii="Helvetica" w:hAnsi="Helvetica" w:cs="Helvetica"/>
                <w:sz w:val="20"/>
                <w:szCs w:val="20"/>
              </w:rPr>
            </w:pPr>
          </w:p>
          <w:p w14:paraId="4234A07B" w14:textId="77777777" w:rsidR="0009173F" w:rsidRPr="00B459EC" w:rsidRDefault="0009173F" w:rsidP="00B459EC">
            <w:pPr>
              <w:spacing w:line="360" w:lineRule="auto"/>
              <w:jc w:val="both"/>
              <w:rPr>
                <w:rFonts w:ascii="Helvetica" w:hAnsi="Helvetica" w:cs="Helvetica"/>
                <w:sz w:val="20"/>
                <w:szCs w:val="20"/>
              </w:rPr>
            </w:pPr>
          </w:p>
          <w:p w14:paraId="0077CC00" w14:textId="77777777" w:rsidR="0009173F" w:rsidRPr="00B459EC" w:rsidRDefault="0009173F" w:rsidP="00B459EC">
            <w:pPr>
              <w:spacing w:line="360" w:lineRule="auto"/>
              <w:jc w:val="both"/>
              <w:rPr>
                <w:rFonts w:ascii="Helvetica" w:hAnsi="Helvetica" w:cs="Helvetica"/>
                <w:sz w:val="20"/>
                <w:szCs w:val="20"/>
              </w:rPr>
            </w:pPr>
          </w:p>
          <w:p w14:paraId="7C462B9F" w14:textId="77777777" w:rsidR="0009173F" w:rsidRPr="00B459EC" w:rsidRDefault="0009173F" w:rsidP="00B459EC">
            <w:pPr>
              <w:spacing w:line="360" w:lineRule="auto"/>
              <w:jc w:val="both"/>
              <w:rPr>
                <w:rFonts w:ascii="Helvetica" w:hAnsi="Helvetica" w:cs="Helvetica"/>
                <w:sz w:val="20"/>
                <w:szCs w:val="20"/>
              </w:rPr>
            </w:pPr>
          </w:p>
          <w:p w14:paraId="18EBAA8E" w14:textId="77777777" w:rsidR="0009173F" w:rsidRPr="00B459EC" w:rsidRDefault="0009173F" w:rsidP="00B459EC">
            <w:pPr>
              <w:spacing w:line="360" w:lineRule="auto"/>
              <w:jc w:val="both"/>
              <w:rPr>
                <w:rFonts w:ascii="Helvetica" w:hAnsi="Helvetica" w:cs="Helvetica"/>
                <w:sz w:val="20"/>
                <w:szCs w:val="20"/>
              </w:rPr>
            </w:pPr>
          </w:p>
          <w:p w14:paraId="2D7F6772" w14:textId="77777777" w:rsidR="0009173F" w:rsidRPr="00B459EC" w:rsidRDefault="0009173F" w:rsidP="00B459EC">
            <w:pPr>
              <w:spacing w:line="360" w:lineRule="auto"/>
              <w:jc w:val="both"/>
              <w:rPr>
                <w:rFonts w:ascii="Helvetica" w:hAnsi="Helvetica" w:cs="Helvetica"/>
                <w:sz w:val="20"/>
                <w:szCs w:val="20"/>
              </w:rPr>
            </w:pPr>
          </w:p>
          <w:p w14:paraId="0B91E186" w14:textId="77777777" w:rsidR="0009173F" w:rsidRPr="00B459EC" w:rsidRDefault="0009173F" w:rsidP="00B459EC">
            <w:pPr>
              <w:spacing w:line="360" w:lineRule="auto"/>
              <w:jc w:val="both"/>
              <w:rPr>
                <w:rFonts w:ascii="Helvetica" w:hAnsi="Helvetica" w:cs="Helvetica"/>
                <w:sz w:val="20"/>
                <w:szCs w:val="20"/>
              </w:rPr>
            </w:pPr>
          </w:p>
          <w:p w14:paraId="091FD1CF" w14:textId="77777777" w:rsidR="0009173F" w:rsidRPr="00B459EC" w:rsidRDefault="0009173F" w:rsidP="00B459EC">
            <w:pPr>
              <w:spacing w:line="360" w:lineRule="auto"/>
              <w:jc w:val="both"/>
              <w:rPr>
                <w:rFonts w:ascii="Helvetica" w:hAnsi="Helvetica" w:cs="Helvetica"/>
                <w:sz w:val="20"/>
                <w:szCs w:val="20"/>
              </w:rPr>
            </w:pPr>
          </w:p>
          <w:p w14:paraId="14C4F545" w14:textId="77777777" w:rsidR="0009173F" w:rsidRPr="00B459EC" w:rsidRDefault="0009173F" w:rsidP="00B459EC">
            <w:pPr>
              <w:spacing w:line="360" w:lineRule="auto"/>
              <w:jc w:val="both"/>
              <w:rPr>
                <w:rFonts w:ascii="Helvetica" w:hAnsi="Helvetica" w:cs="Helvetica"/>
                <w:sz w:val="20"/>
                <w:szCs w:val="20"/>
              </w:rPr>
            </w:pPr>
          </w:p>
          <w:p w14:paraId="03B50C51" w14:textId="77777777" w:rsidR="0009173F" w:rsidRPr="00B459EC" w:rsidRDefault="0009173F" w:rsidP="00B459EC">
            <w:pPr>
              <w:spacing w:line="360" w:lineRule="auto"/>
              <w:jc w:val="both"/>
              <w:rPr>
                <w:rFonts w:ascii="Helvetica" w:hAnsi="Helvetica" w:cs="Helvetica"/>
                <w:sz w:val="20"/>
                <w:szCs w:val="20"/>
              </w:rPr>
            </w:pPr>
          </w:p>
          <w:p w14:paraId="073554EC" w14:textId="48F94708" w:rsidR="00042C35" w:rsidRPr="00B459EC" w:rsidRDefault="0009173F" w:rsidP="00B459EC">
            <w:pPr>
              <w:spacing w:line="360" w:lineRule="auto"/>
              <w:jc w:val="both"/>
              <w:rPr>
                <w:rFonts w:ascii="Helvetica" w:hAnsi="Helvetica" w:cs="Helvetica"/>
                <w:sz w:val="20"/>
                <w:szCs w:val="20"/>
              </w:rPr>
            </w:pPr>
            <w:r w:rsidRPr="00B459EC">
              <w:rPr>
                <w:rFonts w:ascii="Helvetica" w:hAnsi="Helvetica" w:cs="Helvetica"/>
                <w:sz w:val="20"/>
                <w:szCs w:val="20"/>
              </w:rPr>
              <w:t>10.</w:t>
            </w:r>
            <w:r w:rsidR="00042C35" w:rsidRPr="00B459EC">
              <w:rPr>
                <w:rFonts w:ascii="Helvetica" w:hAnsi="Helvetica" w:cs="Helvetica"/>
                <w:sz w:val="20"/>
                <w:szCs w:val="20"/>
              </w:rPr>
              <w:t xml:space="preserve">A financial service provider who, before the commencement of these Guidelines, had </w:t>
            </w:r>
            <w:r w:rsidR="0062193A">
              <w:rPr>
                <w:rFonts w:ascii="Helvetica" w:hAnsi="Helvetica" w:cs="Helvetica"/>
                <w:sz w:val="20"/>
                <w:szCs w:val="20"/>
              </w:rPr>
              <w:t>a</w:t>
            </w:r>
            <w:r w:rsidR="0062193A" w:rsidRPr="00B459EC">
              <w:rPr>
                <w:rFonts w:ascii="Helvetica" w:hAnsi="Helvetica" w:cs="Helvetica"/>
                <w:sz w:val="20"/>
                <w:szCs w:val="20"/>
              </w:rPr>
              <w:t xml:space="preserve"> </w:t>
            </w:r>
            <w:r w:rsidR="00042C35" w:rsidRPr="00B459EC">
              <w:rPr>
                <w:rFonts w:ascii="Helvetica" w:hAnsi="Helvetica" w:cs="Helvetica"/>
                <w:sz w:val="20"/>
                <w:szCs w:val="20"/>
              </w:rPr>
              <w:t xml:space="preserve">system </w:t>
            </w:r>
            <w:r w:rsidR="0062193A">
              <w:rPr>
                <w:rFonts w:ascii="Helvetica" w:hAnsi="Helvetica" w:cs="Helvetica"/>
                <w:sz w:val="20"/>
                <w:szCs w:val="20"/>
              </w:rPr>
              <w:t>or</w:t>
            </w:r>
            <w:r w:rsidR="0062193A" w:rsidRPr="00B459EC">
              <w:rPr>
                <w:rFonts w:ascii="Helvetica" w:hAnsi="Helvetica" w:cs="Helvetica"/>
                <w:sz w:val="20"/>
                <w:szCs w:val="20"/>
              </w:rPr>
              <w:t xml:space="preserve"> </w:t>
            </w:r>
            <w:r w:rsidR="0062193A">
              <w:rPr>
                <w:rFonts w:ascii="Helvetica" w:hAnsi="Helvetica" w:cs="Helvetica"/>
                <w:sz w:val="20"/>
                <w:szCs w:val="20"/>
              </w:rPr>
              <w:t xml:space="preserve">an </w:t>
            </w:r>
            <w:r w:rsidR="00042C35" w:rsidRPr="00B459EC">
              <w:rPr>
                <w:rFonts w:ascii="Helvetica" w:hAnsi="Helvetica" w:cs="Helvetica"/>
                <w:sz w:val="20"/>
                <w:szCs w:val="20"/>
              </w:rPr>
              <w:t xml:space="preserve">application that </w:t>
            </w:r>
            <w:r w:rsidR="0062193A">
              <w:rPr>
                <w:rFonts w:ascii="Helvetica" w:hAnsi="Helvetica" w:cs="Helvetica"/>
                <w:sz w:val="20"/>
                <w:szCs w:val="20"/>
              </w:rPr>
              <w:t>is</w:t>
            </w:r>
            <w:r w:rsidR="0062193A" w:rsidRPr="00B459EC">
              <w:rPr>
                <w:rFonts w:ascii="Helvetica" w:hAnsi="Helvetica" w:cs="Helvetica"/>
                <w:sz w:val="20"/>
                <w:szCs w:val="20"/>
              </w:rPr>
              <w:t xml:space="preserve"> </w:t>
            </w:r>
            <w:r w:rsidR="00042C35" w:rsidRPr="00B459EC">
              <w:rPr>
                <w:rFonts w:ascii="Helvetica" w:hAnsi="Helvetica" w:cs="Helvetica"/>
                <w:sz w:val="20"/>
                <w:szCs w:val="20"/>
              </w:rPr>
              <w:t>hosted on cloud shall within twelve months of commencement of these Guidelines apply for a written approval from the Bank or cease the adoption of cloud computing in accordance with these Guidelines.</w:t>
            </w:r>
          </w:p>
          <w:p w14:paraId="7548332A" w14:textId="77777777" w:rsidR="00C86F61" w:rsidRPr="00B459EC" w:rsidRDefault="00C86F61" w:rsidP="00B459EC">
            <w:pPr>
              <w:spacing w:line="360" w:lineRule="auto"/>
              <w:jc w:val="both"/>
              <w:rPr>
                <w:rFonts w:ascii="Helvetica" w:hAnsi="Helvetica" w:cs="Helvetica"/>
                <w:sz w:val="20"/>
                <w:szCs w:val="20"/>
              </w:rPr>
            </w:pPr>
          </w:p>
        </w:tc>
      </w:tr>
      <w:tr w:rsidR="00EE2A80" w:rsidRPr="00B459EC" w14:paraId="04390CE4" w14:textId="6DDFD90D" w:rsidTr="009D06EA">
        <w:tc>
          <w:tcPr>
            <w:tcW w:w="540" w:type="dxa"/>
          </w:tcPr>
          <w:p w14:paraId="5AB05FA6" w14:textId="77777777" w:rsidR="00EE2A80" w:rsidRPr="00B459EC" w:rsidRDefault="00EE2A80" w:rsidP="00EE2A80">
            <w:pPr>
              <w:spacing w:line="360" w:lineRule="auto"/>
              <w:rPr>
                <w:rFonts w:ascii="Helvetica" w:hAnsi="Helvetica" w:cs="Helvetica"/>
                <w:sz w:val="20"/>
                <w:szCs w:val="20"/>
              </w:rPr>
            </w:pPr>
          </w:p>
        </w:tc>
        <w:tc>
          <w:tcPr>
            <w:tcW w:w="2790" w:type="dxa"/>
          </w:tcPr>
          <w:p w14:paraId="0C647068" w14:textId="752655A4" w:rsidR="00EE2A80" w:rsidRPr="00B459EC" w:rsidRDefault="00EE2A80" w:rsidP="00EE2A80">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These guidelines provide criteria for evaluation of applications from financial service providers intending to host non-mission critical system to the cloud. The minimum criteria for evaluating requests from the financial service provider intending to </w:t>
            </w:r>
            <w:r w:rsidRPr="00B459EC">
              <w:rPr>
                <w:rFonts w:ascii="Helvetica" w:hAnsi="Helvetica" w:cs="Helvetica"/>
                <w:sz w:val="20"/>
                <w:szCs w:val="20"/>
              </w:rPr>
              <w:lastRenderedPageBreak/>
              <w:t>adopt cloud computing for non-mission critical systems shall include the following:</w:t>
            </w:r>
          </w:p>
        </w:tc>
        <w:tc>
          <w:tcPr>
            <w:tcW w:w="2790" w:type="dxa"/>
          </w:tcPr>
          <w:p w14:paraId="6F9ED6EB" w14:textId="574F7A86" w:rsidR="00EE2A80" w:rsidRPr="00B459EC" w:rsidRDefault="00EE2A80" w:rsidP="00EE2A80">
            <w:pPr>
              <w:pStyle w:val="ListParagraph"/>
              <w:spacing w:line="360" w:lineRule="auto"/>
              <w:ind w:left="360"/>
              <w:contextualSpacing w:val="0"/>
              <w:jc w:val="both"/>
              <w:rPr>
                <w:rFonts w:ascii="Helvetica" w:hAnsi="Helvetica" w:cs="Helvetica"/>
                <w:sz w:val="20"/>
                <w:szCs w:val="20"/>
              </w:rPr>
            </w:pPr>
            <w:r w:rsidRPr="00F94A2D">
              <w:rPr>
                <w:rFonts w:ascii="Helvetica" w:hAnsi="Helvetica" w:cs="Helvetica"/>
                <w:sz w:val="20"/>
                <w:szCs w:val="20"/>
              </w:rPr>
              <w:lastRenderedPageBreak/>
              <w:t>None</w:t>
            </w:r>
          </w:p>
        </w:tc>
        <w:tc>
          <w:tcPr>
            <w:tcW w:w="2430" w:type="dxa"/>
          </w:tcPr>
          <w:p w14:paraId="7C20999D" w14:textId="77777777" w:rsidR="00EE2A80" w:rsidRPr="00B459EC" w:rsidRDefault="00EE2A80" w:rsidP="00EE2A80">
            <w:pPr>
              <w:pStyle w:val="ListParagraph"/>
              <w:spacing w:line="360" w:lineRule="auto"/>
              <w:ind w:left="360"/>
              <w:contextualSpacing w:val="0"/>
              <w:jc w:val="both"/>
              <w:rPr>
                <w:rFonts w:ascii="Helvetica" w:hAnsi="Helvetica" w:cs="Helvetica"/>
                <w:sz w:val="20"/>
                <w:szCs w:val="20"/>
              </w:rPr>
            </w:pPr>
          </w:p>
        </w:tc>
        <w:tc>
          <w:tcPr>
            <w:tcW w:w="2136" w:type="dxa"/>
          </w:tcPr>
          <w:p w14:paraId="3F96BF3C" w14:textId="77777777" w:rsidR="00EE2A80" w:rsidRPr="00B459EC" w:rsidRDefault="00EE2A80" w:rsidP="00EE2A80">
            <w:pPr>
              <w:pStyle w:val="ListParagraph"/>
              <w:spacing w:line="360" w:lineRule="auto"/>
              <w:ind w:left="360"/>
              <w:contextualSpacing w:val="0"/>
              <w:jc w:val="both"/>
              <w:rPr>
                <w:rFonts w:ascii="Helvetica" w:hAnsi="Helvetica" w:cs="Helvetica"/>
                <w:sz w:val="20"/>
                <w:szCs w:val="20"/>
              </w:rPr>
            </w:pPr>
          </w:p>
        </w:tc>
      </w:tr>
      <w:tr w:rsidR="00EE2A80" w:rsidRPr="00B459EC" w14:paraId="54E45B0C" w14:textId="15332FD9" w:rsidTr="009D06EA">
        <w:tc>
          <w:tcPr>
            <w:tcW w:w="540" w:type="dxa"/>
          </w:tcPr>
          <w:p w14:paraId="6042209B" w14:textId="77777777" w:rsidR="00EE2A80" w:rsidRPr="00B459EC" w:rsidRDefault="00EE2A80" w:rsidP="00EE2A80">
            <w:pPr>
              <w:spacing w:line="360" w:lineRule="auto"/>
              <w:rPr>
                <w:rFonts w:ascii="Helvetica" w:hAnsi="Helvetica" w:cs="Helvetica"/>
                <w:sz w:val="20"/>
                <w:szCs w:val="20"/>
              </w:rPr>
            </w:pPr>
          </w:p>
        </w:tc>
        <w:tc>
          <w:tcPr>
            <w:tcW w:w="2790" w:type="dxa"/>
          </w:tcPr>
          <w:p w14:paraId="1BB048C4" w14:textId="3B5252E0" w:rsidR="00EE2A80" w:rsidRPr="00B459EC" w:rsidRDefault="00EE2A80" w:rsidP="00EE2A80">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Demonstration of the need for the adoption of cloud computing including the costs and benefits of such arrangement. The anticipated costs shall indicate names of all cloud services acquired, and should be spread over a period of five years plan with a cost comparison over the same period for on-premise arrangement.</w:t>
            </w:r>
          </w:p>
        </w:tc>
        <w:tc>
          <w:tcPr>
            <w:tcW w:w="2790" w:type="dxa"/>
          </w:tcPr>
          <w:p w14:paraId="35487CF1" w14:textId="1F1C4C82" w:rsidR="00EE2A80" w:rsidRPr="00B459EC" w:rsidRDefault="00EE2A80" w:rsidP="00EE2A80">
            <w:pPr>
              <w:pStyle w:val="ListParagraph"/>
              <w:spacing w:line="360" w:lineRule="auto"/>
              <w:contextualSpacing w:val="0"/>
              <w:jc w:val="both"/>
              <w:rPr>
                <w:rFonts w:ascii="Helvetica" w:hAnsi="Helvetica" w:cs="Helvetica"/>
                <w:sz w:val="20"/>
                <w:szCs w:val="20"/>
              </w:rPr>
            </w:pPr>
            <w:r w:rsidRPr="00F94A2D">
              <w:rPr>
                <w:rFonts w:ascii="Helvetica" w:hAnsi="Helvetica" w:cs="Helvetica"/>
                <w:sz w:val="20"/>
                <w:szCs w:val="20"/>
              </w:rPr>
              <w:t>None</w:t>
            </w:r>
          </w:p>
        </w:tc>
        <w:tc>
          <w:tcPr>
            <w:tcW w:w="2430" w:type="dxa"/>
          </w:tcPr>
          <w:p w14:paraId="10AD2504"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c>
          <w:tcPr>
            <w:tcW w:w="2136" w:type="dxa"/>
          </w:tcPr>
          <w:p w14:paraId="67BF6382"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r>
      <w:tr w:rsidR="00BC21C4" w:rsidRPr="00B459EC" w14:paraId="40FDC642" w14:textId="34595D9A" w:rsidTr="009D06EA">
        <w:tc>
          <w:tcPr>
            <w:tcW w:w="540" w:type="dxa"/>
          </w:tcPr>
          <w:p w14:paraId="1C7F3021" w14:textId="77777777" w:rsidR="00BE42B1" w:rsidRPr="00B459EC" w:rsidRDefault="00BE42B1" w:rsidP="00B459EC">
            <w:pPr>
              <w:spacing w:line="360" w:lineRule="auto"/>
              <w:rPr>
                <w:rFonts w:ascii="Helvetica" w:hAnsi="Helvetica" w:cs="Helvetica"/>
                <w:sz w:val="20"/>
                <w:szCs w:val="20"/>
              </w:rPr>
            </w:pPr>
          </w:p>
        </w:tc>
        <w:tc>
          <w:tcPr>
            <w:tcW w:w="2790" w:type="dxa"/>
          </w:tcPr>
          <w:p w14:paraId="5785BF03" w14:textId="63E9D437" w:rsidR="00BE42B1" w:rsidRPr="00B459EC" w:rsidRDefault="00BE42B1" w:rsidP="00B459EC">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Details of dataset that the proposed cloud solution will retrieve, capture, persist and disseminate, this includes source and destination systems. Further, the submission shall include the details of hosting of the source </w:t>
            </w:r>
            <w:r w:rsidRPr="00B459EC">
              <w:rPr>
                <w:rFonts w:ascii="Helvetica" w:hAnsi="Helvetica" w:cs="Helvetica"/>
                <w:sz w:val="20"/>
                <w:szCs w:val="20"/>
              </w:rPr>
              <w:lastRenderedPageBreak/>
              <w:t>and destination systems.</w:t>
            </w:r>
          </w:p>
        </w:tc>
        <w:tc>
          <w:tcPr>
            <w:tcW w:w="2790" w:type="dxa"/>
          </w:tcPr>
          <w:p w14:paraId="1BC31EFF"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430" w:type="dxa"/>
          </w:tcPr>
          <w:p w14:paraId="6E1D55D0"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63689B95"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6E6FA828" w14:textId="3F259DA3" w:rsidTr="009D06EA">
        <w:tc>
          <w:tcPr>
            <w:tcW w:w="540" w:type="dxa"/>
          </w:tcPr>
          <w:p w14:paraId="25638721" w14:textId="77777777" w:rsidR="00566217" w:rsidRPr="00B459EC" w:rsidRDefault="00566217" w:rsidP="00B459EC">
            <w:pPr>
              <w:spacing w:line="360" w:lineRule="auto"/>
              <w:rPr>
                <w:rFonts w:ascii="Helvetica" w:hAnsi="Helvetica" w:cs="Helvetica"/>
                <w:sz w:val="20"/>
                <w:szCs w:val="20"/>
              </w:rPr>
            </w:pPr>
          </w:p>
        </w:tc>
        <w:tc>
          <w:tcPr>
            <w:tcW w:w="2790" w:type="dxa"/>
          </w:tcPr>
          <w:p w14:paraId="62ABA898" w14:textId="566615EA" w:rsidR="00566217" w:rsidRPr="00B459EC" w:rsidRDefault="00566217" w:rsidP="00B459EC">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 clear basis for determining the fees payable and methodology for allocating costs of shared services.</w:t>
            </w:r>
          </w:p>
        </w:tc>
        <w:tc>
          <w:tcPr>
            <w:tcW w:w="2790" w:type="dxa"/>
          </w:tcPr>
          <w:p w14:paraId="49FA73CC" w14:textId="30A0A648" w:rsidR="00566217" w:rsidRPr="00B459EC" w:rsidRDefault="00566217" w:rsidP="00B459EC">
            <w:pPr>
              <w:spacing w:line="360" w:lineRule="auto"/>
              <w:jc w:val="both"/>
              <w:rPr>
                <w:rFonts w:ascii="Helvetica" w:hAnsi="Helvetica" w:cs="Helvetica"/>
                <w:sz w:val="20"/>
                <w:szCs w:val="20"/>
              </w:rPr>
            </w:pPr>
            <w:r w:rsidRPr="00B459EC">
              <w:rPr>
                <w:rFonts w:ascii="Helvetica" w:eastAsia="Times New Roman" w:hAnsi="Helvetica" w:cs="Helvetica"/>
                <w:sz w:val="20"/>
                <w:szCs w:val="20"/>
                <w:lang w:eastAsia="en-GB"/>
              </w:rPr>
              <w:t>Since fees are commercially negotiated between Cloud Service Provider and Financial Service Provider; there is usually a Non-Disclosure Agreement (NDA) clause not to allow this to be shared.</w:t>
            </w:r>
          </w:p>
        </w:tc>
        <w:tc>
          <w:tcPr>
            <w:tcW w:w="2430" w:type="dxa"/>
          </w:tcPr>
          <w:p w14:paraId="40C7DCCC" w14:textId="180C9B38" w:rsidR="00566217" w:rsidRPr="00B459EC" w:rsidRDefault="00E84989" w:rsidP="00B459EC">
            <w:pPr>
              <w:spacing w:line="360" w:lineRule="auto"/>
              <w:jc w:val="both"/>
              <w:rPr>
                <w:rFonts w:ascii="Helvetica" w:hAnsi="Helvetica" w:cs="Helvetica"/>
                <w:sz w:val="20"/>
                <w:szCs w:val="20"/>
              </w:rPr>
            </w:pPr>
            <w:r w:rsidRPr="00B459EC">
              <w:rPr>
                <w:rFonts w:ascii="Helvetica" w:hAnsi="Helvetica" w:cs="Helvetica"/>
                <w:sz w:val="20"/>
                <w:szCs w:val="20"/>
              </w:rPr>
              <w:t>S</w:t>
            </w:r>
            <w:r w:rsidR="00566217" w:rsidRPr="00B459EC">
              <w:rPr>
                <w:rFonts w:ascii="Helvetica" w:hAnsi="Helvetica" w:cs="Helvetica"/>
                <w:sz w:val="20"/>
                <w:szCs w:val="20"/>
              </w:rPr>
              <w:t xml:space="preserve">ection </w:t>
            </w:r>
            <w:r w:rsidRPr="00B459EC">
              <w:rPr>
                <w:rFonts w:ascii="Helvetica" w:hAnsi="Helvetica" w:cs="Helvetica"/>
                <w:sz w:val="20"/>
                <w:szCs w:val="20"/>
              </w:rPr>
              <w:t>33(1)</w:t>
            </w:r>
            <w:r w:rsidR="00566217" w:rsidRPr="00B459EC">
              <w:rPr>
                <w:rFonts w:ascii="Helvetica" w:hAnsi="Helvetica" w:cs="Helvetica"/>
                <w:sz w:val="20"/>
                <w:szCs w:val="20"/>
              </w:rPr>
              <w:t xml:space="preserve"> of </w:t>
            </w:r>
            <w:r w:rsidR="00566217" w:rsidRPr="00B459EC">
              <w:rPr>
                <w:rFonts w:ascii="Helvetica" w:hAnsi="Helvetica" w:cs="Helvetica"/>
                <w:i/>
                <w:iCs/>
                <w:sz w:val="20"/>
                <w:szCs w:val="20"/>
              </w:rPr>
              <w:t>the Banking and Financial Institutions Act, 2006</w:t>
            </w:r>
            <w:r w:rsidRPr="00B459EC">
              <w:rPr>
                <w:rFonts w:ascii="Helvetica" w:hAnsi="Helvetica" w:cs="Helvetica"/>
                <w:i/>
                <w:iCs/>
                <w:sz w:val="20"/>
                <w:szCs w:val="20"/>
              </w:rPr>
              <w:t xml:space="preserve"> </w:t>
            </w:r>
            <w:r w:rsidRPr="00B459EC">
              <w:rPr>
                <w:rFonts w:ascii="Helvetica" w:hAnsi="Helvetica" w:cs="Helvetica"/>
                <w:iCs/>
                <w:sz w:val="20"/>
                <w:szCs w:val="20"/>
              </w:rPr>
              <w:t>provides that</w:t>
            </w:r>
            <w:r w:rsidR="00566217" w:rsidRPr="00B459EC">
              <w:rPr>
                <w:rFonts w:ascii="Helvetica" w:hAnsi="Helvetica" w:cs="Helvetica"/>
                <w:sz w:val="20"/>
                <w:szCs w:val="20"/>
              </w:rPr>
              <w:t xml:space="preserve"> </w:t>
            </w:r>
            <w:r w:rsidRPr="00B459EC">
              <w:rPr>
                <w:rFonts w:ascii="Helvetica" w:hAnsi="Helvetica" w:cs="Helvetica"/>
                <w:sz w:val="20"/>
                <w:szCs w:val="20"/>
              </w:rPr>
              <w:t>Notwithstanding any provision to the contrary contained in any written law, the Bank shall have power to access to any oral and documented information, including information in computers, books, minutes, accounts, cash, securities, documents, vouchers as well as any other things in the possession or custody or under the control of a bank or financial institution or its affiliate, which relate to the business of such bank or financial institution.</w:t>
            </w:r>
            <w:r w:rsidR="00566217" w:rsidRPr="00B459EC">
              <w:rPr>
                <w:rFonts w:ascii="Helvetica" w:hAnsi="Helvetica" w:cs="Helvetica"/>
                <w:sz w:val="20"/>
                <w:szCs w:val="20"/>
              </w:rPr>
              <w:t xml:space="preserve"> </w:t>
            </w:r>
          </w:p>
          <w:p w14:paraId="4E6E52C7" w14:textId="77777777" w:rsidR="00566217" w:rsidRPr="00B459EC" w:rsidRDefault="00566217" w:rsidP="00B459EC">
            <w:pPr>
              <w:spacing w:line="360" w:lineRule="auto"/>
              <w:jc w:val="both"/>
              <w:rPr>
                <w:rFonts w:ascii="Helvetica" w:hAnsi="Helvetica" w:cs="Helvetica"/>
                <w:sz w:val="20"/>
                <w:szCs w:val="20"/>
              </w:rPr>
            </w:pPr>
          </w:p>
          <w:p w14:paraId="0F7D7718" w14:textId="581CAF58" w:rsidR="00566217" w:rsidRPr="00B459EC" w:rsidRDefault="00CD2F58" w:rsidP="00B459EC">
            <w:pPr>
              <w:spacing w:line="360" w:lineRule="auto"/>
              <w:jc w:val="both"/>
              <w:rPr>
                <w:rFonts w:ascii="Helvetica" w:hAnsi="Helvetica" w:cs="Helvetica"/>
                <w:sz w:val="20"/>
                <w:szCs w:val="20"/>
              </w:rPr>
            </w:pPr>
            <w:r>
              <w:rPr>
                <w:rFonts w:ascii="Arial" w:eastAsia="Times New Roman" w:hAnsi="Arial" w:cs="Arial"/>
                <w:color w:val="000000"/>
                <w:sz w:val="20"/>
                <w:szCs w:val="20"/>
              </w:rPr>
              <w:t>Further, this is also the requirements of Guideline 7(b</w:t>
            </w:r>
            <w:r w:rsidRPr="004810EC">
              <w:rPr>
                <w:rFonts w:ascii="Arial" w:eastAsia="Times New Roman" w:hAnsi="Arial" w:cs="Arial"/>
                <w:color w:val="000000"/>
                <w:sz w:val="20"/>
                <w:szCs w:val="20"/>
              </w:rPr>
              <w:t>) of the Outsourcing Guidelines for Banks and Financial Institutions, 2021</w:t>
            </w:r>
            <w:r>
              <w:rPr>
                <w:rFonts w:ascii="Arial" w:eastAsia="Times New Roman" w:hAnsi="Arial" w:cs="Arial"/>
                <w:color w:val="000000"/>
                <w:sz w:val="20"/>
                <w:szCs w:val="20"/>
              </w:rPr>
              <w:t xml:space="preserve">. </w:t>
            </w:r>
            <w:r w:rsidRPr="004810EC">
              <w:rPr>
                <w:rFonts w:ascii="Arial" w:eastAsia="Times New Roman" w:hAnsi="Arial" w:cs="Arial"/>
                <w:color w:val="000000"/>
                <w:sz w:val="20"/>
                <w:szCs w:val="20"/>
              </w:rPr>
              <w:t xml:space="preserve">Therefore, the provision </w:t>
            </w:r>
            <w:r w:rsidRPr="004810EC">
              <w:rPr>
                <w:rFonts w:ascii="Arial" w:eastAsia="Times New Roman" w:hAnsi="Arial" w:cs="Arial"/>
                <w:color w:val="000000"/>
                <w:sz w:val="20"/>
                <w:szCs w:val="20"/>
              </w:rPr>
              <w:lastRenderedPageBreak/>
              <w:t>is enforceable and should prevail.</w:t>
            </w:r>
            <w:r w:rsidR="00566217" w:rsidRPr="00B459EC">
              <w:rPr>
                <w:rFonts w:ascii="Helvetica" w:hAnsi="Helvetica" w:cs="Helvetica"/>
                <w:sz w:val="20"/>
                <w:szCs w:val="20"/>
              </w:rPr>
              <w:t>.</w:t>
            </w:r>
          </w:p>
        </w:tc>
        <w:tc>
          <w:tcPr>
            <w:tcW w:w="2136" w:type="dxa"/>
          </w:tcPr>
          <w:p w14:paraId="211D4F62" w14:textId="77777777" w:rsidR="00566217" w:rsidRPr="00B459EC" w:rsidRDefault="00566217" w:rsidP="00B459EC">
            <w:pPr>
              <w:spacing w:line="360" w:lineRule="auto"/>
              <w:jc w:val="both"/>
              <w:rPr>
                <w:rFonts w:ascii="Helvetica" w:hAnsi="Helvetica" w:cs="Helvetica"/>
                <w:sz w:val="20"/>
                <w:szCs w:val="20"/>
              </w:rPr>
            </w:pPr>
          </w:p>
        </w:tc>
      </w:tr>
      <w:tr w:rsidR="00EE2A80" w:rsidRPr="00B459EC" w14:paraId="3D34661D" w14:textId="7C7B1BEB" w:rsidTr="009D06EA">
        <w:tc>
          <w:tcPr>
            <w:tcW w:w="540" w:type="dxa"/>
          </w:tcPr>
          <w:p w14:paraId="1FCF8025" w14:textId="77777777" w:rsidR="00EE2A80" w:rsidRPr="00B459EC" w:rsidRDefault="00EE2A80" w:rsidP="00EE2A80">
            <w:pPr>
              <w:spacing w:line="360" w:lineRule="auto"/>
              <w:rPr>
                <w:rFonts w:ascii="Helvetica" w:hAnsi="Helvetica" w:cs="Helvetica"/>
                <w:sz w:val="20"/>
                <w:szCs w:val="20"/>
              </w:rPr>
            </w:pPr>
          </w:p>
        </w:tc>
        <w:tc>
          <w:tcPr>
            <w:tcW w:w="2790" w:type="dxa"/>
          </w:tcPr>
          <w:p w14:paraId="4C92F7AC" w14:textId="7643BDA6" w:rsidR="00EE2A80" w:rsidRPr="00B459EC" w:rsidRDefault="00EE2A80" w:rsidP="00EE2A80">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Potential impact of cloud computing arrangements on the financial service providers tariff structure.</w:t>
            </w:r>
          </w:p>
        </w:tc>
        <w:tc>
          <w:tcPr>
            <w:tcW w:w="2790" w:type="dxa"/>
          </w:tcPr>
          <w:p w14:paraId="35E00064" w14:textId="18902A1A" w:rsidR="00EE2A80" w:rsidRPr="009D06EA" w:rsidRDefault="00EE2A80" w:rsidP="009D06EA">
            <w:pPr>
              <w:spacing w:line="360" w:lineRule="auto"/>
              <w:jc w:val="both"/>
              <w:rPr>
                <w:rFonts w:ascii="Helvetica" w:hAnsi="Helvetica" w:cs="Helvetica"/>
                <w:sz w:val="20"/>
                <w:szCs w:val="20"/>
              </w:rPr>
            </w:pPr>
            <w:r w:rsidRPr="009D06EA">
              <w:rPr>
                <w:rFonts w:ascii="Helvetica" w:hAnsi="Helvetica" w:cs="Helvetica"/>
                <w:sz w:val="20"/>
                <w:szCs w:val="20"/>
              </w:rPr>
              <w:t>None</w:t>
            </w:r>
          </w:p>
        </w:tc>
        <w:tc>
          <w:tcPr>
            <w:tcW w:w="2430" w:type="dxa"/>
          </w:tcPr>
          <w:p w14:paraId="7162BB47"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c>
          <w:tcPr>
            <w:tcW w:w="2136" w:type="dxa"/>
          </w:tcPr>
          <w:p w14:paraId="19EB04DA"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r>
      <w:tr w:rsidR="00EE2A80" w:rsidRPr="00B459EC" w14:paraId="54E5184C" w14:textId="6825EA0C" w:rsidTr="009D06EA">
        <w:tc>
          <w:tcPr>
            <w:tcW w:w="540" w:type="dxa"/>
          </w:tcPr>
          <w:p w14:paraId="51EE895A" w14:textId="77777777" w:rsidR="00EE2A80" w:rsidRPr="00B459EC" w:rsidRDefault="00EE2A80" w:rsidP="00EE2A80">
            <w:pPr>
              <w:spacing w:line="360" w:lineRule="auto"/>
              <w:rPr>
                <w:rFonts w:ascii="Helvetica" w:hAnsi="Helvetica" w:cs="Helvetica"/>
                <w:sz w:val="20"/>
                <w:szCs w:val="20"/>
              </w:rPr>
            </w:pPr>
          </w:p>
        </w:tc>
        <w:tc>
          <w:tcPr>
            <w:tcW w:w="2790" w:type="dxa"/>
          </w:tcPr>
          <w:p w14:paraId="1E3E3E34" w14:textId="7673C236" w:rsidR="00EE2A80" w:rsidRPr="00B459EC" w:rsidRDefault="00EE2A80" w:rsidP="00EE2A80">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Evidence of due diligence on the capacity of the cloud computing service provider, which shall include:</w:t>
            </w:r>
          </w:p>
        </w:tc>
        <w:tc>
          <w:tcPr>
            <w:tcW w:w="2790" w:type="dxa"/>
          </w:tcPr>
          <w:p w14:paraId="3F338B11" w14:textId="6DABEA6E" w:rsidR="00EE2A80" w:rsidRPr="00B459EC" w:rsidRDefault="00EE2A80" w:rsidP="00EE2A80">
            <w:pPr>
              <w:spacing w:line="360" w:lineRule="auto"/>
              <w:jc w:val="both"/>
              <w:rPr>
                <w:rFonts w:ascii="Helvetica" w:hAnsi="Helvetica" w:cs="Helvetica"/>
                <w:sz w:val="20"/>
                <w:szCs w:val="20"/>
              </w:rPr>
            </w:pPr>
            <w:r w:rsidRPr="00741850">
              <w:rPr>
                <w:rFonts w:ascii="Helvetica" w:hAnsi="Helvetica" w:cs="Helvetica"/>
                <w:sz w:val="20"/>
                <w:szCs w:val="20"/>
              </w:rPr>
              <w:t>None</w:t>
            </w:r>
          </w:p>
        </w:tc>
        <w:tc>
          <w:tcPr>
            <w:tcW w:w="2430" w:type="dxa"/>
          </w:tcPr>
          <w:p w14:paraId="63476120" w14:textId="6625C152" w:rsidR="00EE2A80" w:rsidRPr="00B459EC" w:rsidRDefault="00EE2A80" w:rsidP="00EE2A80">
            <w:pPr>
              <w:spacing w:line="360" w:lineRule="auto"/>
              <w:jc w:val="both"/>
              <w:rPr>
                <w:rFonts w:ascii="Helvetica" w:hAnsi="Helvetica" w:cs="Helvetica"/>
                <w:sz w:val="20"/>
                <w:szCs w:val="20"/>
              </w:rPr>
            </w:pPr>
          </w:p>
        </w:tc>
        <w:tc>
          <w:tcPr>
            <w:tcW w:w="2136" w:type="dxa"/>
          </w:tcPr>
          <w:p w14:paraId="1190B9CF"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r>
      <w:tr w:rsidR="00EE2A80" w:rsidRPr="00B459EC" w14:paraId="3F2A6798" w14:textId="7834FFCE" w:rsidTr="009D06EA">
        <w:tc>
          <w:tcPr>
            <w:tcW w:w="540" w:type="dxa"/>
          </w:tcPr>
          <w:p w14:paraId="046C16DB" w14:textId="77777777" w:rsidR="00EE2A80" w:rsidRPr="00B459EC" w:rsidRDefault="00EE2A80" w:rsidP="00EE2A80">
            <w:pPr>
              <w:spacing w:line="360" w:lineRule="auto"/>
              <w:rPr>
                <w:rFonts w:ascii="Helvetica" w:hAnsi="Helvetica" w:cs="Helvetica"/>
                <w:sz w:val="20"/>
                <w:szCs w:val="20"/>
              </w:rPr>
            </w:pPr>
          </w:p>
        </w:tc>
        <w:tc>
          <w:tcPr>
            <w:tcW w:w="2790" w:type="dxa"/>
          </w:tcPr>
          <w:p w14:paraId="73E1F96B" w14:textId="471825B9" w:rsidR="00EE2A80" w:rsidRPr="00B459EC" w:rsidRDefault="00EE2A80" w:rsidP="00EE2A80">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Strong security measures in place to protect data in transit and at rest, including encryption, multi-factor authentication, identification and remediation of vulnerabilities, and strict access controls.</w:t>
            </w:r>
          </w:p>
        </w:tc>
        <w:tc>
          <w:tcPr>
            <w:tcW w:w="2790" w:type="dxa"/>
          </w:tcPr>
          <w:p w14:paraId="1914B0D2" w14:textId="774D66A2" w:rsidR="00EE2A80" w:rsidRPr="009D06EA" w:rsidRDefault="00EE2A80" w:rsidP="009D06EA">
            <w:pPr>
              <w:spacing w:line="360" w:lineRule="auto"/>
              <w:jc w:val="both"/>
              <w:rPr>
                <w:rFonts w:ascii="Helvetica" w:hAnsi="Helvetica" w:cs="Helvetica"/>
                <w:sz w:val="20"/>
                <w:szCs w:val="20"/>
              </w:rPr>
            </w:pPr>
            <w:r w:rsidRPr="009D06EA">
              <w:rPr>
                <w:rFonts w:ascii="Helvetica" w:hAnsi="Helvetica" w:cs="Helvetica"/>
                <w:sz w:val="20"/>
                <w:szCs w:val="20"/>
              </w:rPr>
              <w:t>None</w:t>
            </w:r>
          </w:p>
        </w:tc>
        <w:tc>
          <w:tcPr>
            <w:tcW w:w="2430" w:type="dxa"/>
          </w:tcPr>
          <w:p w14:paraId="1614E53B" w14:textId="77777777" w:rsidR="00EE2A80" w:rsidRPr="00B459EC" w:rsidRDefault="00EE2A80" w:rsidP="00EE2A80">
            <w:pPr>
              <w:pStyle w:val="ListParagraph"/>
              <w:spacing w:line="360" w:lineRule="auto"/>
              <w:ind w:left="1276"/>
              <w:contextualSpacing w:val="0"/>
              <w:jc w:val="both"/>
              <w:rPr>
                <w:rFonts w:ascii="Helvetica" w:hAnsi="Helvetica" w:cs="Helvetica"/>
                <w:sz w:val="20"/>
                <w:szCs w:val="20"/>
              </w:rPr>
            </w:pPr>
          </w:p>
        </w:tc>
        <w:tc>
          <w:tcPr>
            <w:tcW w:w="2136" w:type="dxa"/>
          </w:tcPr>
          <w:p w14:paraId="2446783A" w14:textId="77777777" w:rsidR="00EE2A80" w:rsidRPr="00B459EC" w:rsidRDefault="00EE2A80" w:rsidP="00EE2A80">
            <w:pPr>
              <w:pStyle w:val="ListParagraph"/>
              <w:spacing w:line="360" w:lineRule="auto"/>
              <w:ind w:left="1276"/>
              <w:contextualSpacing w:val="0"/>
              <w:jc w:val="both"/>
              <w:rPr>
                <w:rFonts w:ascii="Helvetica" w:hAnsi="Helvetica" w:cs="Helvetica"/>
                <w:sz w:val="20"/>
                <w:szCs w:val="20"/>
              </w:rPr>
            </w:pPr>
          </w:p>
        </w:tc>
      </w:tr>
      <w:tr w:rsidR="00BC21C4" w:rsidRPr="00B459EC" w14:paraId="01F15978" w14:textId="3E7EFC3F" w:rsidTr="009D06EA">
        <w:tc>
          <w:tcPr>
            <w:tcW w:w="540" w:type="dxa"/>
          </w:tcPr>
          <w:p w14:paraId="6D9E68DA" w14:textId="77777777" w:rsidR="00BE42B1" w:rsidRPr="00B459EC" w:rsidRDefault="00BE42B1" w:rsidP="00B459EC">
            <w:pPr>
              <w:spacing w:line="360" w:lineRule="auto"/>
              <w:rPr>
                <w:rFonts w:ascii="Helvetica" w:hAnsi="Helvetica" w:cs="Helvetica"/>
                <w:sz w:val="20"/>
                <w:szCs w:val="20"/>
              </w:rPr>
            </w:pPr>
          </w:p>
        </w:tc>
        <w:tc>
          <w:tcPr>
            <w:tcW w:w="2790" w:type="dxa"/>
          </w:tcPr>
          <w:p w14:paraId="58D51772" w14:textId="41B59192"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 xml:space="preserve">Ability to demonstrate compliance </w:t>
            </w:r>
            <w:r w:rsidRPr="00B459EC">
              <w:rPr>
                <w:rFonts w:ascii="Helvetica" w:hAnsi="Helvetica" w:cs="Helvetica"/>
                <w:sz w:val="20"/>
                <w:szCs w:val="20"/>
              </w:rPr>
              <w:lastRenderedPageBreak/>
              <w:t>with relevant laws and regulations, including data privacy regulations and industry-specific regulations such as those governing the handling of sensitive financial information.</w:t>
            </w:r>
          </w:p>
        </w:tc>
        <w:tc>
          <w:tcPr>
            <w:tcW w:w="2790" w:type="dxa"/>
          </w:tcPr>
          <w:p w14:paraId="50C8B43C" w14:textId="1DD712E1"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42F7AB51"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289FD90D"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1D6ECEB8" w14:textId="17568B3C" w:rsidTr="009D06EA">
        <w:tc>
          <w:tcPr>
            <w:tcW w:w="540" w:type="dxa"/>
          </w:tcPr>
          <w:p w14:paraId="59579A30" w14:textId="77777777" w:rsidR="00BE42B1" w:rsidRPr="00B459EC" w:rsidRDefault="00BE42B1" w:rsidP="00B459EC">
            <w:pPr>
              <w:spacing w:line="360" w:lineRule="auto"/>
              <w:rPr>
                <w:rFonts w:ascii="Helvetica" w:hAnsi="Helvetica" w:cs="Helvetica"/>
                <w:sz w:val="20"/>
                <w:szCs w:val="20"/>
              </w:rPr>
            </w:pPr>
          </w:p>
        </w:tc>
        <w:tc>
          <w:tcPr>
            <w:tcW w:w="2790" w:type="dxa"/>
          </w:tcPr>
          <w:p w14:paraId="2301F709" w14:textId="712952BA"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Track record of uptime and availability, as downtime can have significant financial consequences to the financial service provider.</w:t>
            </w:r>
          </w:p>
        </w:tc>
        <w:tc>
          <w:tcPr>
            <w:tcW w:w="2790" w:type="dxa"/>
          </w:tcPr>
          <w:p w14:paraId="184F18AE" w14:textId="3BE1873D"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2B5BEF27"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6E284985"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10CF54F8" w14:textId="1A997385" w:rsidTr="009D06EA">
        <w:tc>
          <w:tcPr>
            <w:tcW w:w="540" w:type="dxa"/>
          </w:tcPr>
          <w:p w14:paraId="2386DDF3" w14:textId="77777777" w:rsidR="00BE42B1" w:rsidRPr="00B459EC" w:rsidRDefault="00BE42B1" w:rsidP="00B459EC">
            <w:pPr>
              <w:spacing w:line="360" w:lineRule="auto"/>
              <w:rPr>
                <w:rFonts w:ascii="Helvetica" w:hAnsi="Helvetica" w:cs="Helvetica"/>
                <w:sz w:val="20"/>
                <w:szCs w:val="20"/>
              </w:rPr>
            </w:pPr>
          </w:p>
        </w:tc>
        <w:tc>
          <w:tcPr>
            <w:tcW w:w="2790" w:type="dxa"/>
          </w:tcPr>
          <w:p w14:paraId="3EFD2709" w14:textId="10C2FD94"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Capacity to handle the workload required by the financial service provider.</w:t>
            </w:r>
          </w:p>
        </w:tc>
        <w:tc>
          <w:tcPr>
            <w:tcW w:w="2790" w:type="dxa"/>
          </w:tcPr>
          <w:p w14:paraId="1E951F0A" w14:textId="7059A800"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0C907B6"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0BF18711"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5675A632" w14:textId="4BD7512B" w:rsidTr="009D06EA">
        <w:tc>
          <w:tcPr>
            <w:tcW w:w="540" w:type="dxa"/>
          </w:tcPr>
          <w:p w14:paraId="2291E6CD" w14:textId="77777777" w:rsidR="00BE42B1" w:rsidRPr="00B459EC" w:rsidRDefault="00BE42B1" w:rsidP="00B459EC">
            <w:pPr>
              <w:spacing w:line="360" w:lineRule="auto"/>
              <w:rPr>
                <w:rFonts w:ascii="Helvetica" w:hAnsi="Helvetica" w:cs="Helvetica"/>
                <w:sz w:val="20"/>
                <w:szCs w:val="20"/>
              </w:rPr>
            </w:pPr>
          </w:p>
        </w:tc>
        <w:tc>
          <w:tcPr>
            <w:tcW w:w="2790" w:type="dxa"/>
          </w:tcPr>
          <w:p w14:paraId="7CFB799E" w14:textId="07FD7C30"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Ability to scale up or down to meet the changing needs of the financial service provider, providing flexibility and cost-effectiveness.</w:t>
            </w:r>
          </w:p>
        </w:tc>
        <w:tc>
          <w:tcPr>
            <w:tcW w:w="2790" w:type="dxa"/>
          </w:tcPr>
          <w:p w14:paraId="4A16BB90" w14:textId="590E7BE7"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1F6E8A23"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1E51CF17"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1159A46A" w14:textId="4382717C" w:rsidTr="009D06EA">
        <w:tc>
          <w:tcPr>
            <w:tcW w:w="540" w:type="dxa"/>
          </w:tcPr>
          <w:p w14:paraId="62BB9F5C" w14:textId="77777777" w:rsidR="00BE42B1" w:rsidRPr="00B459EC" w:rsidRDefault="00BE42B1" w:rsidP="00B459EC">
            <w:pPr>
              <w:spacing w:line="360" w:lineRule="auto"/>
              <w:rPr>
                <w:rFonts w:ascii="Helvetica" w:hAnsi="Helvetica" w:cs="Helvetica"/>
                <w:sz w:val="20"/>
                <w:szCs w:val="20"/>
              </w:rPr>
            </w:pPr>
          </w:p>
        </w:tc>
        <w:tc>
          <w:tcPr>
            <w:tcW w:w="2790" w:type="dxa"/>
          </w:tcPr>
          <w:p w14:paraId="7A75B97B" w14:textId="52500423"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Ability to offer competitive pricing and a clear, transparent billing structure.</w:t>
            </w:r>
          </w:p>
        </w:tc>
        <w:tc>
          <w:tcPr>
            <w:tcW w:w="2790" w:type="dxa"/>
          </w:tcPr>
          <w:p w14:paraId="0CEA262B" w14:textId="49A1EC1B"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5A766A5E"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7E486A80"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5C847614" w14:textId="3B2AA324" w:rsidTr="009D06EA">
        <w:tc>
          <w:tcPr>
            <w:tcW w:w="540" w:type="dxa"/>
          </w:tcPr>
          <w:p w14:paraId="14D690ED" w14:textId="77777777" w:rsidR="00BE42B1" w:rsidRPr="00B459EC" w:rsidRDefault="00BE42B1" w:rsidP="00B459EC">
            <w:pPr>
              <w:spacing w:line="360" w:lineRule="auto"/>
              <w:rPr>
                <w:rFonts w:ascii="Helvetica" w:hAnsi="Helvetica" w:cs="Helvetica"/>
                <w:sz w:val="20"/>
                <w:szCs w:val="20"/>
              </w:rPr>
            </w:pPr>
          </w:p>
        </w:tc>
        <w:tc>
          <w:tcPr>
            <w:tcW w:w="2790" w:type="dxa"/>
          </w:tcPr>
          <w:p w14:paraId="37052C62" w14:textId="52DD74CC"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Ability to offer a high level of technical support and customer service, with dedicated support staff available to assist with any issues that may arise.</w:t>
            </w:r>
          </w:p>
        </w:tc>
        <w:tc>
          <w:tcPr>
            <w:tcW w:w="2790" w:type="dxa"/>
          </w:tcPr>
          <w:p w14:paraId="270F393C" w14:textId="67AD0D83"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F122D29"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6DC1729E"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4651F403" w14:textId="31570FBC" w:rsidTr="009D06EA">
        <w:tc>
          <w:tcPr>
            <w:tcW w:w="540" w:type="dxa"/>
          </w:tcPr>
          <w:p w14:paraId="59725A3F" w14:textId="77777777" w:rsidR="00BE42B1" w:rsidRPr="00B459EC" w:rsidRDefault="00BE42B1" w:rsidP="00B459EC">
            <w:pPr>
              <w:spacing w:line="360" w:lineRule="auto"/>
              <w:rPr>
                <w:rFonts w:ascii="Helvetica" w:hAnsi="Helvetica" w:cs="Helvetica"/>
                <w:sz w:val="20"/>
                <w:szCs w:val="20"/>
              </w:rPr>
            </w:pPr>
          </w:p>
        </w:tc>
        <w:tc>
          <w:tcPr>
            <w:tcW w:w="2790" w:type="dxa"/>
          </w:tcPr>
          <w:p w14:paraId="60B2CC3C" w14:textId="06828D46"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 xml:space="preserve">Ability to seamlessly integrate with </w:t>
            </w:r>
            <w:r w:rsidRPr="00B459EC">
              <w:rPr>
                <w:rFonts w:ascii="Helvetica" w:hAnsi="Helvetica" w:cs="Helvetica"/>
                <w:sz w:val="20"/>
                <w:szCs w:val="20"/>
              </w:rPr>
              <w:lastRenderedPageBreak/>
              <w:t>the financial service provider’s</w:t>
            </w:r>
            <w:r w:rsidRPr="00B459EC">
              <w:rPr>
                <w:rFonts w:ascii="Helvetica" w:hAnsi="Helvetica" w:cs="Helvetica"/>
                <w:i/>
                <w:sz w:val="20"/>
                <w:szCs w:val="20"/>
              </w:rPr>
              <w:t xml:space="preserve"> </w:t>
            </w:r>
            <w:r w:rsidRPr="00B459EC">
              <w:rPr>
                <w:rFonts w:ascii="Helvetica" w:hAnsi="Helvetica" w:cs="Helvetica"/>
                <w:sz w:val="20"/>
                <w:szCs w:val="20"/>
              </w:rPr>
              <w:t>existing systems and processes, where necessary.</w:t>
            </w:r>
          </w:p>
        </w:tc>
        <w:tc>
          <w:tcPr>
            <w:tcW w:w="2790" w:type="dxa"/>
          </w:tcPr>
          <w:p w14:paraId="1CF072F2" w14:textId="76384662"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0D3D889B"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74036E58"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2A09404F" w14:textId="42AD1803" w:rsidTr="009D06EA">
        <w:tc>
          <w:tcPr>
            <w:tcW w:w="540" w:type="dxa"/>
          </w:tcPr>
          <w:p w14:paraId="0D7588E3" w14:textId="77777777" w:rsidR="00BE42B1" w:rsidRPr="00B459EC" w:rsidRDefault="00BE42B1" w:rsidP="00B459EC">
            <w:pPr>
              <w:spacing w:line="360" w:lineRule="auto"/>
              <w:rPr>
                <w:rFonts w:ascii="Helvetica" w:hAnsi="Helvetica" w:cs="Helvetica"/>
                <w:sz w:val="20"/>
                <w:szCs w:val="20"/>
              </w:rPr>
            </w:pPr>
          </w:p>
        </w:tc>
        <w:tc>
          <w:tcPr>
            <w:tcW w:w="2790" w:type="dxa"/>
          </w:tcPr>
          <w:p w14:paraId="510AE53D" w14:textId="12FCF5FC" w:rsidR="00BE42B1" w:rsidRPr="00B459EC" w:rsidRDefault="00BE42B1"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Ability to customize and tailor its services to meet the specific needs of the financial service provider.</w:t>
            </w:r>
          </w:p>
        </w:tc>
        <w:tc>
          <w:tcPr>
            <w:tcW w:w="2790" w:type="dxa"/>
          </w:tcPr>
          <w:p w14:paraId="0B550D13" w14:textId="27085E47"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1928FA28"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c>
          <w:tcPr>
            <w:tcW w:w="2136" w:type="dxa"/>
          </w:tcPr>
          <w:p w14:paraId="057EF041" w14:textId="77777777" w:rsidR="00BE42B1" w:rsidRPr="00B459EC" w:rsidRDefault="00BE42B1" w:rsidP="00B459EC">
            <w:pPr>
              <w:pStyle w:val="ListParagraph"/>
              <w:spacing w:line="360" w:lineRule="auto"/>
              <w:ind w:left="1276"/>
              <w:contextualSpacing w:val="0"/>
              <w:jc w:val="both"/>
              <w:rPr>
                <w:rFonts w:ascii="Helvetica" w:hAnsi="Helvetica" w:cs="Helvetica"/>
                <w:sz w:val="20"/>
                <w:szCs w:val="20"/>
              </w:rPr>
            </w:pPr>
          </w:p>
        </w:tc>
      </w:tr>
      <w:tr w:rsidR="00565930" w:rsidRPr="00B459EC" w14:paraId="3147009E" w14:textId="71D393D3" w:rsidTr="009D06EA">
        <w:tc>
          <w:tcPr>
            <w:tcW w:w="540" w:type="dxa"/>
          </w:tcPr>
          <w:p w14:paraId="370948FC" w14:textId="77777777" w:rsidR="00565930" w:rsidRPr="00B459EC" w:rsidRDefault="00565930" w:rsidP="00B459EC">
            <w:pPr>
              <w:spacing w:line="360" w:lineRule="auto"/>
              <w:rPr>
                <w:rFonts w:ascii="Helvetica" w:hAnsi="Helvetica" w:cs="Helvetica"/>
                <w:sz w:val="20"/>
                <w:szCs w:val="20"/>
              </w:rPr>
            </w:pPr>
          </w:p>
        </w:tc>
        <w:tc>
          <w:tcPr>
            <w:tcW w:w="2790" w:type="dxa"/>
          </w:tcPr>
          <w:p w14:paraId="3FF4E6CC" w14:textId="711112C0" w:rsidR="00565930" w:rsidRPr="00B459EC" w:rsidRDefault="00565930" w:rsidP="00B459EC">
            <w:pPr>
              <w:pStyle w:val="ListParagraph"/>
              <w:numPr>
                <w:ilvl w:val="0"/>
                <w:numId w:val="31"/>
              </w:numPr>
              <w:spacing w:line="360" w:lineRule="auto"/>
              <w:ind w:left="1276" w:hanging="556"/>
              <w:contextualSpacing w:val="0"/>
              <w:jc w:val="both"/>
              <w:rPr>
                <w:rFonts w:ascii="Helvetica" w:hAnsi="Helvetica" w:cs="Helvetica"/>
                <w:sz w:val="20"/>
                <w:szCs w:val="20"/>
              </w:rPr>
            </w:pPr>
            <w:r w:rsidRPr="00B459EC">
              <w:rPr>
                <w:rFonts w:ascii="Helvetica" w:hAnsi="Helvetica" w:cs="Helvetica"/>
                <w:sz w:val="20"/>
                <w:szCs w:val="20"/>
              </w:rPr>
              <w:t>The technology in use has no vendor locking and the financial service provider can migrate the outsourced cloud service to on-premises or other cloud computing provider;</w:t>
            </w:r>
          </w:p>
        </w:tc>
        <w:tc>
          <w:tcPr>
            <w:tcW w:w="2790" w:type="dxa"/>
          </w:tcPr>
          <w:p w14:paraId="102C9D5A" w14:textId="77777777" w:rsidR="00565930" w:rsidRPr="00B459EC" w:rsidRDefault="00565930" w:rsidP="00B459EC">
            <w:pPr>
              <w:spacing w:line="360" w:lineRule="auto"/>
              <w:jc w:val="both"/>
              <w:rPr>
                <w:rFonts w:ascii="Helvetica" w:eastAsia="Times New Roman" w:hAnsi="Helvetica" w:cs="Helvetica"/>
                <w:sz w:val="20"/>
                <w:szCs w:val="20"/>
                <w:lang w:eastAsia="en-GB"/>
              </w:rPr>
            </w:pPr>
            <w:r w:rsidRPr="00B459EC">
              <w:rPr>
                <w:rFonts w:ascii="Helvetica" w:eastAsia="Times New Roman" w:hAnsi="Helvetica" w:cs="Helvetica"/>
                <w:sz w:val="20"/>
                <w:szCs w:val="20"/>
                <w:lang w:eastAsia="en-GB"/>
              </w:rPr>
              <w:t xml:space="preserve">Some of the technologies are provided by the same Cloud Service Provider (CSP) and hence cannot be migrated to other CSP and migrating them to On-premises will defeat the Cloud technology advantages: Scalability, Resiliency, Cost, etc. </w:t>
            </w:r>
            <w:r w:rsidRPr="00B459EC">
              <w:rPr>
                <w:rFonts w:ascii="Helvetica" w:eastAsia="Times New Roman" w:hAnsi="Helvetica" w:cs="Helvetica"/>
                <w:sz w:val="20"/>
                <w:szCs w:val="20"/>
                <w:lang w:eastAsia="en-GB"/>
              </w:rPr>
              <w:br w:type="page"/>
              <w:t>Example: Microsoft Office 365 can only be hosted in Microsoft Azure Cloud.</w:t>
            </w:r>
            <w:r w:rsidRPr="00B459EC">
              <w:rPr>
                <w:rFonts w:ascii="Helvetica" w:eastAsia="Times New Roman" w:hAnsi="Helvetica" w:cs="Helvetica"/>
                <w:sz w:val="20"/>
                <w:szCs w:val="20"/>
                <w:lang w:eastAsia="en-GB"/>
              </w:rPr>
              <w:br w:type="page"/>
            </w:r>
          </w:p>
          <w:p w14:paraId="203A3F50" w14:textId="1A9D34AE" w:rsidR="00565930" w:rsidRPr="00B459EC" w:rsidRDefault="00565930" w:rsidP="00B459EC">
            <w:pPr>
              <w:pStyle w:val="ListParagraph"/>
              <w:spacing w:line="360" w:lineRule="auto"/>
              <w:ind w:left="1276"/>
              <w:contextualSpacing w:val="0"/>
              <w:jc w:val="both"/>
              <w:rPr>
                <w:rFonts w:ascii="Helvetica" w:hAnsi="Helvetica" w:cs="Helvetica"/>
                <w:sz w:val="20"/>
                <w:szCs w:val="20"/>
              </w:rPr>
            </w:pPr>
            <w:r w:rsidRPr="00B459EC">
              <w:rPr>
                <w:rFonts w:ascii="Helvetica" w:eastAsia="Times New Roman" w:hAnsi="Helvetica" w:cs="Helvetica"/>
                <w:sz w:val="20"/>
                <w:szCs w:val="20"/>
                <w:lang w:eastAsia="en-GB"/>
              </w:rPr>
              <w:t xml:space="preserve">We suggest risk assessment to be done and mitigation </w:t>
            </w:r>
            <w:r w:rsidRPr="00B459EC">
              <w:rPr>
                <w:rFonts w:ascii="Helvetica" w:eastAsia="Times New Roman" w:hAnsi="Helvetica" w:cs="Helvetica"/>
                <w:sz w:val="20"/>
                <w:szCs w:val="20"/>
                <w:lang w:eastAsia="en-GB"/>
              </w:rPr>
              <w:lastRenderedPageBreak/>
              <w:t>provided on a specific vendor.</w:t>
            </w:r>
          </w:p>
        </w:tc>
        <w:tc>
          <w:tcPr>
            <w:tcW w:w="2430" w:type="dxa"/>
          </w:tcPr>
          <w:p w14:paraId="4185F56E" w14:textId="56C72527" w:rsidR="00565930" w:rsidRPr="00B459EC" w:rsidRDefault="00565930" w:rsidP="00B459EC">
            <w:pPr>
              <w:spacing w:line="360" w:lineRule="auto"/>
              <w:jc w:val="both"/>
              <w:rPr>
                <w:rFonts w:ascii="Helvetica" w:hAnsi="Helvetica" w:cs="Helvetica"/>
                <w:sz w:val="20"/>
                <w:szCs w:val="20"/>
              </w:rPr>
            </w:pPr>
            <w:r w:rsidRPr="00B459EC">
              <w:rPr>
                <w:rFonts w:ascii="Helvetica" w:hAnsi="Helvetica" w:cs="Helvetica"/>
                <w:sz w:val="20"/>
                <w:szCs w:val="20"/>
              </w:rPr>
              <w:lastRenderedPageBreak/>
              <w:t>The provision grants financial service providers a flexibility to disengage from existing cloud computing vendors, while ensuring business continuity in the event of a separation with the cloud service provider.</w:t>
            </w:r>
          </w:p>
        </w:tc>
        <w:tc>
          <w:tcPr>
            <w:tcW w:w="2136" w:type="dxa"/>
          </w:tcPr>
          <w:p w14:paraId="5CDAF7EB" w14:textId="77777777" w:rsidR="00565930" w:rsidRPr="00B459EC" w:rsidRDefault="00565930" w:rsidP="00B459EC">
            <w:pPr>
              <w:pStyle w:val="ListParagraph"/>
              <w:spacing w:line="360" w:lineRule="auto"/>
              <w:ind w:left="1276"/>
              <w:contextualSpacing w:val="0"/>
              <w:jc w:val="both"/>
              <w:rPr>
                <w:rFonts w:ascii="Helvetica" w:hAnsi="Helvetica" w:cs="Helvetica"/>
                <w:sz w:val="20"/>
                <w:szCs w:val="20"/>
              </w:rPr>
            </w:pPr>
          </w:p>
        </w:tc>
      </w:tr>
      <w:tr w:rsidR="00BC21C4" w:rsidRPr="00B459EC" w14:paraId="7EDF03EF" w14:textId="5765CC5C" w:rsidTr="009D06EA">
        <w:tc>
          <w:tcPr>
            <w:tcW w:w="540" w:type="dxa"/>
          </w:tcPr>
          <w:p w14:paraId="47A8BF5D" w14:textId="77777777" w:rsidR="00BE42B1" w:rsidRPr="00B459EC" w:rsidRDefault="00BE42B1" w:rsidP="00B459EC">
            <w:pPr>
              <w:spacing w:line="360" w:lineRule="auto"/>
              <w:rPr>
                <w:rFonts w:ascii="Helvetica" w:hAnsi="Helvetica" w:cs="Helvetica"/>
                <w:sz w:val="20"/>
                <w:szCs w:val="20"/>
              </w:rPr>
            </w:pPr>
          </w:p>
        </w:tc>
        <w:tc>
          <w:tcPr>
            <w:tcW w:w="2790" w:type="dxa"/>
          </w:tcPr>
          <w:p w14:paraId="0BEF8571" w14:textId="7A41C17D" w:rsidR="00BE42B1" w:rsidRPr="00B459EC" w:rsidRDefault="00BE42B1" w:rsidP="00B459EC">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Potential impact of the adoption of cloud computing on earnings, solvency, liquidity, funding, capital and risk profile;</w:t>
            </w:r>
          </w:p>
        </w:tc>
        <w:tc>
          <w:tcPr>
            <w:tcW w:w="2790" w:type="dxa"/>
          </w:tcPr>
          <w:p w14:paraId="6D0D6014" w14:textId="7154F7C1"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2128D0E"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775DC507"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37A20300" w14:textId="635C950D" w:rsidTr="009D06EA">
        <w:tc>
          <w:tcPr>
            <w:tcW w:w="540" w:type="dxa"/>
          </w:tcPr>
          <w:p w14:paraId="44C9E3BB" w14:textId="77777777" w:rsidR="007936C4" w:rsidRPr="00B459EC" w:rsidRDefault="007936C4" w:rsidP="00B459EC">
            <w:pPr>
              <w:spacing w:line="360" w:lineRule="auto"/>
              <w:rPr>
                <w:rFonts w:ascii="Helvetica" w:hAnsi="Helvetica" w:cs="Helvetica"/>
                <w:sz w:val="20"/>
                <w:szCs w:val="20"/>
              </w:rPr>
            </w:pPr>
          </w:p>
        </w:tc>
        <w:tc>
          <w:tcPr>
            <w:tcW w:w="2790" w:type="dxa"/>
          </w:tcPr>
          <w:p w14:paraId="4CA6D764" w14:textId="2FC21C71" w:rsidR="007936C4" w:rsidRPr="00B459EC" w:rsidRDefault="007936C4" w:rsidP="00B459EC">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Aggregate exposure to a particular cloud computing service provider in cases where the financial service provider hosts various non-mission critical systems to the same cloud computing service provider; and</w:t>
            </w:r>
          </w:p>
        </w:tc>
        <w:tc>
          <w:tcPr>
            <w:tcW w:w="2790" w:type="dxa"/>
          </w:tcPr>
          <w:p w14:paraId="6BBEF7A7" w14:textId="3DC658CA" w:rsidR="007936C4" w:rsidRPr="00B459EC" w:rsidRDefault="007936C4" w:rsidP="00B459EC">
            <w:pPr>
              <w:spacing w:line="360" w:lineRule="auto"/>
              <w:jc w:val="both"/>
              <w:rPr>
                <w:rFonts w:ascii="Helvetica" w:hAnsi="Helvetica" w:cs="Helvetica"/>
                <w:sz w:val="20"/>
                <w:szCs w:val="20"/>
              </w:rPr>
            </w:pPr>
            <w:r w:rsidRPr="00B459EC">
              <w:rPr>
                <w:rFonts w:ascii="Helvetica" w:eastAsia="Times New Roman" w:hAnsi="Helvetica" w:cs="Helvetica"/>
                <w:sz w:val="20"/>
                <w:szCs w:val="20"/>
                <w:lang w:eastAsia="en-GB"/>
              </w:rPr>
              <w:t>As of now, there are only a few reputable Cloud Service Providers (eg: Microsoft &amp; Amazon) which means narrow range of choices for Financial Service Providers. Also, these CSP's have already proved to be reliable technologically, financially etc.</w:t>
            </w:r>
            <w:r w:rsidRPr="00B459EC">
              <w:rPr>
                <w:rFonts w:ascii="Helvetica" w:eastAsia="Times New Roman" w:hAnsi="Helvetica" w:cs="Helvetica"/>
                <w:sz w:val="20"/>
                <w:szCs w:val="20"/>
                <w:lang w:eastAsia="en-GB"/>
              </w:rPr>
              <w:br/>
              <w:t>We suggest this part to be re-looked based on the limitations.</w:t>
            </w:r>
          </w:p>
        </w:tc>
        <w:tc>
          <w:tcPr>
            <w:tcW w:w="2430" w:type="dxa"/>
          </w:tcPr>
          <w:p w14:paraId="235B2DFA" w14:textId="37ACF1B4" w:rsidR="007936C4" w:rsidRPr="00B459EC" w:rsidRDefault="007936C4"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The Guideline </w:t>
            </w:r>
            <w:r w:rsidR="00C71238" w:rsidRPr="00B459EC">
              <w:rPr>
                <w:rFonts w:ascii="Helvetica" w:hAnsi="Helvetica" w:cs="Helvetica"/>
                <w:sz w:val="20"/>
                <w:szCs w:val="20"/>
              </w:rPr>
              <w:t>intends to manage the concentration risk to avoid Single point of failure.</w:t>
            </w:r>
          </w:p>
        </w:tc>
        <w:tc>
          <w:tcPr>
            <w:tcW w:w="2136" w:type="dxa"/>
          </w:tcPr>
          <w:p w14:paraId="71CF0922" w14:textId="77777777" w:rsidR="007936C4" w:rsidRPr="00B459EC" w:rsidRDefault="007936C4" w:rsidP="00B459EC">
            <w:pPr>
              <w:pStyle w:val="ListParagraph"/>
              <w:spacing w:line="360" w:lineRule="auto"/>
              <w:contextualSpacing w:val="0"/>
              <w:jc w:val="both"/>
              <w:rPr>
                <w:rFonts w:ascii="Helvetica" w:hAnsi="Helvetica" w:cs="Helvetica"/>
                <w:sz w:val="20"/>
                <w:szCs w:val="20"/>
              </w:rPr>
            </w:pPr>
          </w:p>
        </w:tc>
      </w:tr>
      <w:tr w:rsidR="00BC21C4" w:rsidRPr="00B459EC" w14:paraId="5E93189D" w14:textId="2E9E4F65" w:rsidTr="009D06EA">
        <w:tc>
          <w:tcPr>
            <w:tcW w:w="540" w:type="dxa"/>
          </w:tcPr>
          <w:p w14:paraId="77516EED" w14:textId="77777777" w:rsidR="00BE42B1" w:rsidRPr="00B459EC" w:rsidRDefault="00BE42B1" w:rsidP="00B459EC">
            <w:pPr>
              <w:spacing w:line="360" w:lineRule="auto"/>
              <w:rPr>
                <w:rFonts w:ascii="Helvetica" w:hAnsi="Helvetica" w:cs="Helvetica"/>
                <w:sz w:val="20"/>
                <w:szCs w:val="20"/>
              </w:rPr>
            </w:pPr>
          </w:p>
        </w:tc>
        <w:tc>
          <w:tcPr>
            <w:tcW w:w="2790" w:type="dxa"/>
          </w:tcPr>
          <w:p w14:paraId="5D59F183" w14:textId="10325E1E" w:rsidR="00BE42B1" w:rsidRPr="00B459EC" w:rsidRDefault="00BE42B1" w:rsidP="00B459EC">
            <w:pPr>
              <w:pStyle w:val="ListParagraph"/>
              <w:numPr>
                <w:ilvl w:val="0"/>
                <w:numId w:val="28"/>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Ability to maintain appropriate internal controls and meet regulatory requirements, even if there are operational problems faced by the cloud computing service provider.</w:t>
            </w:r>
          </w:p>
        </w:tc>
        <w:tc>
          <w:tcPr>
            <w:tcW w:w="2790" w:type="dxa"/>
          </w:tcPr>
          <w:p w14:paraId="7A2D8557" w14:textId="00B68E29"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161A583D"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0A589ADB"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6848EB" w:rsidRPr="00B459EC" w14:paraId="5C7D3AD2" w14:textId="77777777" w:rsidTr="009D06EA">
        <w:tc>
          <w:tcPr>
            <w:tcW w:w="540" w:type="dxa"/>
          </w:tcPr>
          <w:p w14:paraId="67DD9483" w14:textId="77777777" w:rsidR="006848EB" w:rsidRPr="00B459EC" w:rsidRDefault="006848EB" w:rsidP="00B459EC">
            <w:pPr>
              <w:spacing w:line="360" w:lineRule="auto"/>
              <w:rPr>
                <w:rFonts w:ascii="Helvetica" w:hAnsi="Helvetica" w:cs="Helvetica"/>
                <w:sz w:val="20"/>
                <w:szCs w:val="20"/>
              </w:rPr>
            </w:pPr>
          </w:p>
        </w:tc>
        <w:tc>
          <w:tcPr>
            <w:tcW w:w="2790" w:type="dxa"/>
          </w:tcPr>
          <w:p w14:paraId="3A97626C" w14:textId="50F217D1" w:rsidR="006848EB" w:rsidRPr="00B459EC" w:rsidRDefault="006848EB" w:rsidP="00B459EC">
            <w:pPr>
              <w:pStyle w:val="ListParagraph"/>
              <w:spacing w:line="360" w:lineRule="auto"/>
              <w:contextualSpacing w:val="0"/>
              <w:jc w:val="both"/>
              <w:rPr>
                <w:rFonts w:ascii="Helvetica" w:hAnsi="Helvetica" w:cs="Helvetica"/>
                <w:sz w:val="20"/>
                <w:szCs w:val="20"/>
              </w:rPr>
            </w:pPr>
          </w:p>
        </w:tc>
        <w:tc>
          <w:tcPr>
            <w:tcW w:w="2790" w:type="dxa"/>
          </w:tcPr>
          <w:p w14:paraId="5CA7943C" w14:textId="77777777" w:rsidR="006848EB" w:rsidRPr="00B459EC" w:rsidRDefault="006848EB" w:rsidP="00B459EC">
            <w:pPr>
              <w:pStyle w:val="ListParagraph"/>
              <w:spacing w:line="360" w:lineRule="auto"/>
              <w:contextualSpacing w:val="0"/>
              <w:jc w:val="both"/>
              <w:rPr>
                <w:rFonts w:ascii="Helvetica" w:hAnsi="Helvetica" w:cs="Helvetica"/>
                <w:sz w:val="20"/>
                <w:szCs w:val="20"/>
              </w:rPr>
            </w:pPr>
          </w:p>
        </w:tc>
        <w:tc>
          <w:tcPr>
            <w:tcW w:w="2430" w:type="dxa"/>
          </w:tcPr>
          <w:p w14:paraId="23EEBB2F" w14:textId="2EAE6342" w:rsidR="006848EB" w:rsidRPr="00B459EC" w:rsidRDefault="006848EB"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Added item (j) on the need for </w:t>
            </w:r>
            <w:r w:rsidR="000B6858" w:rsidRPr="00B459EC">
              <w:rPr>
                <w:rFonts w:ascii="Helvetica" w:hAnsi="Helvetica" w:cs="Helvetica"/>
                <w:sz w:val="20"/>
                <w:szCs w:val="20"/>
              </w:rPr>
              <w:t xml:space="preserve">financial service </w:t>
            </w:r>
            <w:r w:rsidR="000B6858" w:rsidRPr="00B459EC">
              <w:rPr>
                <w:rFonts w:ascii="Helvetica" w:hAnsi="Helvetica" w:cs="Helvetica"/>
                <w:sz w:val="20"/>
                <w:szCs w:val="20"/>
              </w:rPr>
              <w:lastRenderedPageBreak/>
              <w:t xml:space="preserve">provider </w:t>
            </w:r>
            <w:r w:rsidRPr="00B459EC">
              <w:rPr>
                <w:rFonts w:ascii="Helvetica" w:hAnsi="Helvetica" w:cs="Helvetica"/>
                <w:sz w:val="20"/>
                <w:szCs w:val="20"/>
              </w:rPr>
              <w:t xml:space="preserve">to conduct an assessment on the impact on </w:t>
            </w:r>
            <w:r w:rsidR="000B6858" w:rsidRPr="00B459EC">
              <w:rPr>
                <w:rFonts w:ascii="Helvetica" w:hAnsi="Helvetica" w:cs="Helvetica"/>
                <w:sz w:val="20"/>
                <w:szCs w:val="20"/>
              </w:rPr>
              <w:t>financial service provider</w:t>
            </w:r>
            <w:r w:rsidRPr="00B459EC">
              <w:rPr>
                <w:rFonts w:ascii="Helvetica" w:hAnsi="Helvetica" w:cs="Helvetica"/>
                <w:sz w:val="20"/>
                <w:szCs w:val="20"/>
              </w:rPr>
              <w:t xml:space="preserve"> reputation in case the service provider fails.</w:t>
            </w:r>
          </w:p>
        </w:tc>
        <w:tc>
          <w:tcPr>
            <w:tcW w:w="2136" w:type="dxa"/>
          </w:tcPr>
          <w:p w14:paraId="188FB771" w14:textId="638C2F38" w:rsidR="006848EB" w:rsidRPr="009D06EA" w:rsidRDefault="00B544B0" w:rsidP="009D06EA">
            <w:pPr>
              <w:spacing w:line="360" w:lineRule="auto"/>
              <w:jc w:val="both"/>
              <w:rPr>
                <w:rFonts w:ascii="Helvetica" w:hAnsi="Helvetica" w:cs="Helvetica"/>
                <w:sz w:val="20"/>
                <w:szCs w:val="20"/>
              </w:rPr>
            </w:pPr>
            <w:r>
              <w:rPr>
                <w:rFonts w:ascii="Helvetica" w:hAnsi="Helvetica" w:cs="Helvetica"/>
                <w:sz w:val="20"/>
                <w:szCs w:val="20"/>
              </w:rPr>
              <w:lastRenderedPageBreak/>
              <w:t xml:space="preserve">j) </w:t>
            </w:r>
            <w:r w:rsidRPr="009D06EA">
              <w:rPr>
                <w:rFonts w:ascii="Helvetica" w:hAnsi="Helvetica" w:cs="Helvetica"/>
                <w:sz w:val="20"/>
                <w:szCs w:val="20"/>
              </w:rPr>
              <w:t xml:space="preserve">The impact on the Financial Service </w:t>
            </w:r>
            <w:r w:rsidRPr="009D06EA">
              <w:rPr>
                <w:rFonts w:ascii="Helvetica" w:hAnsi="Helvetica" w:cs="Helvetica"/>
                <w:sz w:val="20"/>
                <w:szCs w:val="20"/>
              </w:rPr>
              <w:lastRenderedPageBreak/>
              <w:t>Provider’s reputation in the event of service provider failure, and the adequacy of the identified fallback position or backup arrangements to address such failure</w:t>
            </w:r>
            <w:r w:rsidR="006848EB" w:rsidRPr="009D06EA">
              <w:rPr>
                <w:rFonts w:ascii="Helvetica" w:hAnsi="Helvetica" w:cs="Helvetica"/>
                <w:sz w:val="20"/>
                <w:szCs w:val="20"/>
              </w:rPr>
              <w:t>;</w:t>
            </w:r>
          </w:p>
        </w:tc>
      </w:tr>
      <w:tr w:rsidR="00042C35" w:rsidRPr="00B459EC" w14:paraId="237778D5" w14:textId="77777777" w:rsidTr="009D06EA">
        <w:tc>
          <w:tcPr>
            <w:tcW w:w="540" w:type="dxa"/>
          </w:tcPr>
          <w:p w14:paraId="22695D5A" w14:textId="77777777" w:rsidR="00042C35" w:rsidRPr="00B459EC" w:rsidRDefault="00042C35" w:rsidP="00B459EC">
            <w:pPr>
              <w:spacing w:line="360" w:lineRule="auto"/>
              <w:rPr>
                <w:rFonts w:ascii="Helvetica" w:hAnsi="Helvetica" w:cs="Helvetica"/>
                <w:sz w:val="20"/>
                <w:szCs w:val="20"/>
              </w:rPr>
            </w:pPr>
          </w:p>
        </w:tc>
        <w:tc>
          <w:tcPr>
            <w:tcW w:w="2790" w:type="dxa"/>
          </w:tcPr>
          <w:p w14:paraId="3F2F0DED" w14:textId="77777777" w:rsidR="00042C35" w:rsidRPr="00B459EC" w:rsidRDefault="00042C35" w:rsidP="00B459EC">
            <w:pPr>
              <w:pStyle w:val="ListParagraph"/>
              <w:spacing w:line="360" w:lineRule="auto"/>
              <w:ind w:left="360"/>
              <w:contextualSpacing w:val="0"/>
              <w:jc w:val="both"/>
              <w:rPr>
                <w:rFonts w:ascii="Helvetica" w:hAnsi="Helvetica" w:cs="Helvetica"/>
                <w:sz w:val="20"/>
                <w:szCs w:val="20"/>
              </w:rPr>
            </w:pPr>
          </w:p>
        </w:tc>
        <w:tc>
          <w:tcPr>
            <w:tcW w:w="2790" w:type="dxa"/>
          </w:tcPr>
          <w:p w14:paraId="0B361AD6" w14:textId="77777777" w:rsidR="00042C35" w:rsidRPr="00B459EC" w:rsidRDefault="00042C35" w:rsidP="00B459EC">
            <w:pPr>
              <w:pStyle w:val="ListParagraph"/>
              <w:spacing w:line="360" w:lineRule="auto"/>
              <w:contextualSpacing w:val="0"/>
              <w:jc w:val="both"/>
              <w:rPr>
                <w:rFonts w:ascii="Helvetica" w:hAnsi="Helvetica" w:cs="Helvetica"/>
                <w:sz w:val="20"/>
                <w:szCs w:val="20"/>
              </w:rPr>
            </w:pPr>
          </w:p>
        </w:tc>
        <w:tc>
          <w:tcPr>
            <w:tcW w:w="2430" w:type="dxa"/>
          </w:tcPr>
          <w:p w14:paraId="35B04023" w14:textId="02F85722" w:rsidR="00042C35" w:rsidRPr="00B459EC" w:rsidRDefault="0009173F" w:rsidP="00B459EC">
            <w:pPr>
              <w:spacing w:line="360" w:lineRule="auto"/>
              <w:jc w:val="both"/>
              <w:rPr>
                <w:rFonts w:ascii="Helvetica" w:hAnsi="Helvetica" w:cs="Helvetica"/>
                <w:sz w:val="20"/>
                <w:szCs w:val="20"/>
              </w:rPr>
            </w:pPr>
            <w:r w:rsidRPr="00B459EC">
              <w:rPr>
                <w:rFonts w:ascii="Helvetica" w:hAnsi="Helvetica" w:cs="Helvetica"/>
                <w:sz w:val="20"/>
                <w:szCs w:val="20"/>
              </w:rPr>
              <w:t>Added guideline 10 to cater for transition arrangement for financial service providers who adopted cloud computing prior to issuance of the Guidelines.</w:t>
            </w:r>
          </w:p>
        </w:tc>
        <w:tc>
          <w:tcPr>
            <w:tcW w:w="2136" w:type="dxa"/>
          </w:tcPr>
          <w:p w14:paraId="6E610940" w14:textId="77777777" w:rsidR="0009173F" w:rsidRPr="00B459EC" w:rsidRDefault="0009173F"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 financial service provider that, before the commencement of these Guidelines, had adopted cloud computing shall within twelve months of commencement of these Guidelines apply for a written approval from the Bank or cease the adoption of cloud computing in accordance with these Guidelines.</w:t>
            </w:r>
          </w:p>
          <w:p w14:paraId="459941A0" w14:textId="77777777" w:rsidR="00042C35" w:rsidRPr="00B459EC" w:rsidRDefault="00042C35" w:rsidP="00B459EC">
            <w:pPr>
              <w:pStyle w:val="ListParagraph"/>
              <w:spacing w:line="360" w:lineRule="auto"/>
              <w:ind w:left="255"/>
              <w:contextualSpacing w:val="0"/>
              <w:jc w:val="both"/>
              <w:rPr>
                <w:rFonts w:ascii="Helvetica" w:hAnsi="Helvetica" w:cs="Helvetica"/>
                <w:sz w:val="20"/>
                <w:szCs w:val="20"/>
              </w:rPr>
            </w:pPr>
          </w:p>
        </w:tc>
      </w:tr>
      <w:tr w:rsidR="00BC21C4" w:rsidRPr="00B459EC" w14:paraId="1FFAB9A0" w14:textId="043969C7" w:rsidTr="009D06EA">
        <w:tc>
          <w:tcPr>
            <w:tcW w:w="540" w:type="dxa"/>
          </w:tcPr>
          <w:p w14:paraId="0B5C516B" w14:textId="77777777" w:rsidR="00BE42B1" w:rsidRPr="00B459EC" w:rsidRDefault="00BE42B1" w:rsidP="00B459EC">
            <w:pPr>
              <w:pStyle w:val="Heading1"/>
              <w:spacing w:before="0" w:line="360" w:lineRule="auto"/>
              <w:outlineLvl w:val="0"/>
              <w:rPr>
                <w:rFonts w:ascii="Helvetica" w:hAnsi="Helvetica" w:cs="Helvetica"/>
                <w:b/>
                <w:color w:val="auto"/>
                <w:sz w:val="20"/>
                <w:szCs w:val="20"/>
              </w:rPr>
            </w:pPr>
          </w:p>
        </w:tc>
        <w:tc>
          <w:tcPr>
            <w:tcW w:w="2790" w:type="dxa"/>
          </w:tcPr>
          <w:p w14:paraId="4C2419B3" w14:textId="0A1965A0"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bookmarkStart w:id="6" w:name="_Toc150264750"/>
            <w:r w:rsidRPr="00B459EC">
              <w:rPr>
                <w:rFonts w:ascii="Helvetica" w:hAnsi="Helvetica" w:cs="Helvetica"/>
                <w:b/>
                <w:color w:val="auto"/>
                <w:sz w:val="20"/>
                <w:szCs w:val="20"/>
              </w:rPr>
              <w:t>PART III</w:t>
            </w:r>
            <w:bookmarkEnd w:id="6"/>
            <w:r w:rsidRPr="00B459EC">
              <w:rPr>
                <w:rFonts w:ascii="Helvetica" w:hAnsi="Helvetica" w:cs="Helvetica"/>
                <w:b/>
                <w:color w:val="auto"/>
                <w:sz w:val="20"/>
                <w:szCs w:val="20"/>
              </w:rPr>
              <w:t xml:space="preserve"> </w:t>
            </w:r>
          </w:p>
        </w:tc>
        <w:tc>
          <w:tcPr>
            <w:tcW w:w="2790" w:type="dxa"/>
          </w:tcPr>
          <w:p w14:paraId="14642ED8"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430" w:type="dxa"/>
          </w:tcPr>
          <w:p w14:paraId="27999B63"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136" w:type="dxa"/>
          </w:tcPr>
          <w:p w14:paraId="299B9CD5"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r>
      <w:tr w:rsidR="00BC21C4" w:rsidRPr="00B459EC" w14:paraId="2B382A35" w14:textId="51DC714B" w:rsidTr="009D06EA">
        <w:tc>
          <w:tcPr>
            <w:tcW w:w="540" w:type="dxa"/>
          </w:tcPr>
          <w:p w14:paraId="39AFB908" w14:textId="77777777" w:rsidR="00BE42B1" w:rsidRPr="00B459EC" w:rsidRDefault="00BE42B1" w:rsidP="00B459EC">
            <w:pPr>
              <w:pStyle w:val="Heading2"/>
              <w:spacing w:before="0" w:line="360" w:lineRule="auto"/>
              <w:outlineLvl w:val="1"/>
              <w:rPr>
                <w:rFonts w:ascii="Helvetica" w:hAnsi="Helvetica" w:cs="Helvetica"/>
                <w:b/>
                <w:color w:val="000000" w:themeColor="text1"/>
                <w:sz w:val="20"/>
                <w:szCs w:val="20"/>
              </w:rPr>
            </w:pPr>
          </w:p>
        </w:tc>
        <w:tc>
          <w:tcPr>
            <w:tcW w:w="2790" w:type="dxa"/>
          </w:tcPr>
          <w:p w14:paraId="70B0018B" w14:textId="6FAC2260"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bookmarkStart w:id="7" w:name="_Toc150264751"/>
            <w:r w:rsidRPr="00B459EC">
              <w:rPr>
                <w:rFonts w:ascii="Helvetica" w:hAnsi="Helvetica" w:cs="Helvetica"/>
                <w:b/>
                <w:color w:val="000000" w:themeColor="text1"/>
                <w:sz w:val="20"/>
                <w:szCs w:val="20"/>
              </w:rPr>
              <w:t>Cloud Computing Contract</w:t>
            </w:r>
            <w:bookmarkEnd w:id="7"/>
          </w:p>
        </w:tc>
        <w:tc>
          <w:tcPr>
            <w:tcW w:w="2790" w:type="dxa"/>
          </w:tcPr>
          <w:p w14:paraId="76C5744C"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430" w:type="dxa"/>
          </w:tcPr>
          <w:p w14:paraId="30332511"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136" w:type="dxa"/>
          </w:tcPr>
          <w:p w14:paraId="10F322E4"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r>
      <w:tr w:rsidR="00BC21C4" w:rsidRPr="00B459EC" w14:paraId="41B33C39" w14:textId="5A8E33BB" w:rsidTr="009D06EA">
        <w:tc>
          <w:tcPr>
            <w:tcW w:w="540" w:type="dxa"/>
          </w:tcPr>
          <w:p w14:paraId="127C4F5B" w14:textId="77777777" w:rsidR="006D0D7B" w:rsidRPr="00B459EC" w:rsidRDefault="006D0D7B" w:rsidP="00B459EC">
            <w:pPr>
              <w:spacing w:line="360" w:lineRule="auto"/>
              <w:rPr>
                <w:rFonts w:ascii="Helvetica" w:hAnsi="Helvetica" w:cs="Helvetica"/>
                <w:sz w:val="20"/>
                <w:szCs w:val="20"/>
              </w:rPr>
            </w:pPr>
          </w:p>
        </w:tc>
        <w:tc>
          <w:tcPr>
            <w:tcW w:w="2790" w:type="dxa"/>
          </w:tcPr>
          <w:p w14:paraId="24B7FEB5" w14:textId="255A40FF" w:rsidR="006D0D7B" w:rsidRPr="00B459EC" w:rsidRDefault="006D0D7B"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All cloud computing arrangements shall be </w:t>
            </w:r>
            <w:r w:rsidRPr="00B459EC">
              <w:rPr>
                <w:rFonts w:ascii="Helvetica" w:hAnsi="Helvetica" w:cs="Helvetica"/>
                <w:sz w:val="20"/>
                <w:szCs w:val="20"/>
              </w:rPr>
              <w:lastRenderedPageBreak/>
              <w:t>subject to a written contract, which must be approved by the Bank before implementation.</w:t>
            </w:r>
          </w:p>
        </w:tc>
        <w:tc>
          <w:tcPr>
            <w:tcW w:w="2790" w:type="dxa"/>
          </w:tcPr>
          <w:p w14:paraId="469EE38C" w14:textId="77777777" w:rsidR="006D0D7B" w:rsidRPr="00B459EC" w:rsidRDefault="006D0D7B" w:rsidP="00B459EC">
            <w:pPr>
              <w:spacing w:line="360" w:lineRule="auto"/>
              <w:jc w:val="both"/>
              <w:rPr>
                <w:rFonts w:ascii="Helvetica" w:eastAsia="Times New Roman" w:hAnsi="Helvetica" w:cs="Helvetica"/>
                <w:sz w:val="20"/>
                <w:szCs w:val="20"/>
                <w:lang w:eastAsia="en-GB"/>
              </w:rPr>
            </w:pPr>
            <w:r w:rsidRPr="00B459EC">
              <w:rPr>
                <w:rFonts w:ascii="Helvetica" w:eastAsia="Times New Roman" w:hAnsi="Helvetica" w:cs="Helvetica"/>
                <w:sz w:val="20"/>
                <w:szCs w:val="20"/>
                <w:lang w:eastAsia="en-GB"/>
              </w:rPr>
              <w:lastRenderedPageBreak/>
              <w:t xml:space="preserve">For International Financial Service Providers, it is </w:t>
            </w:r>
            <w:r w:rsidRPr="00B459EC">
              <w:rPr>
                <w:rFonts w:ascii="Helvetica" w:eastAsia="Times New Roman" w:hAnsi="Helvetica" w:cs="Helvetica"/>
                <w:sz w:val="20"/>
                <w:szCs w:val="20"/>
                <w:lang w:eastAsia="en-GB"/>
              </w:rPr>
              <w:lastRenderedPageBreak/>
              <w:t>efficient for such contracts to be done at Group level as opposed to country in order to realise, among other benefits, the economies of scale.</w:t>
            </w:r>
          </w:p>
          <w:p w14:paraId="2426F697" w14:textId="16098CCF" w:rsidR="006D0D7B" w:rsidRPr="00B459EC" w:rsidRDefault="00EE2A80" w:rsidP="00EE2A80">
            <w:pPr>
              <w:spacing w:line="360" w:lineRule="auto"/>
              <w:jc w:val="both"/>
              <w:rPr>
                <w:rFonts w:ascii="Helvetica" w:hAnsi="Helvetica" w:cs="Helvetica"/>
                <w:sz w:val="20"/>
                <w:szCs w:val="20"/>
              </w:rPr>
            </w:pPr>
            <w:r>
              <w:rPr>
                <w:rFonts w:ascii="Helvetica" w:eastAsia="Times New Roman" w:hAnsi="Helvetica" w:cs="Helvetica"/>
                <w:sz w:val="20"/>
                <w:szCs w:val="20"/>
                <w:lang w:eastAsia="en-GB"/>
              </w:rPr>
              <w:t>To some of the Financial Service Providers</w:t>
            </w:r>
            <w:r w:rsidRPr="00B459EC">
              <w:rPr>
                <w:rFonts w:ascii="Helvetica" w:eastAsia="Times New Roman" w:hAnsi="Helvetica" w:cs="Helvetica"/>
                <w:sz w:val="20"/>
                <w:szCs w:val="20"/>
                <w:lang w:eastAsia="en-GB"/>
              </w:rPr>
              <w:t xml:space="preserve"> </w:t>
            </w:r>
            <w:r w:rsidR="006D0D7B" w:rsidRPr="00B459EC">
              <w:rPr>
                <w:rFonts w:ascii="Helvetica" w:eastAsia="Times New Roman" w:hAnsi="Helvetica" w:cs="Helvetica"/>
                <w:sz w:val="20"/>
                <w:szCs w:val="20"/>
                <w:lang w:eastAsia="en-GB"/>
              </w:rPr>
              <w:t>the cloud contracts are negotiated, done and maintained at group level.</w:t>
            </w:r>
          </w:p>
        </w:tc>
        <w:tc>
          <w:tcPr>
            <w:tcW w:w="2430" w:type="dxa"/>
          </w:tcPr>
          <w:p w14:paraId="17F372B4" w14:textId="076BA936" w:rsidR="006D0D7B" w:rsidRPr="00B459EC" w:rsidRDefault="006D0D7B" w:rsidP="00B459EC">
            <w:pPr>
              <w:spacing w:line="360" w:lineRule="auto"/>
              <w:jc w:val="both"/>
              <w:rPr>
                <w:rFonts w:ascii="Helvetica" w:hAnsi="Helvetica" w:cs="Helvetica"/>
                <w:sz w:val="20"/>
                <w:szCs w:val="20"/>
              </w:rPr>
            </w:pPr>
            <w:r w:rsidRPr="00B459EC">
              <w:rPr>
                <w:rFonts w:ascii="Helvetica" w:hAnsi="Helvetica" w:cs="Helvetica"/>
                <w:sz w:val="20"/>
                <w:szCs w:val="20"/>
              </w:rPr>
              <w:lastRenderedPageBreak/>
              <w:t>For the servic</w:t>
            </w:r>
            <w:r w:rsidR="005830CD" w:rsidRPr="00B459EC">
              <w:rPr>
                <w:rFonts w:ascii="Helvetica" w:hAnsi="Helvetica" w:cs="Helvetica"/>
                <w:sz w:val="20"/>
                <w:szCs w:val="20"/>
              </w:rPr>
              <w:t xml:space="preserve">e entered at a group level, </w:t>
            </w:r>
            <w:r w:rsidR="005830CD" w:rsidRPr="00B459EC">
              <w:rPr>
                <w:rFonts w:ascii="Helvetica" w:hAnsi="Helvetica" w:cs="Helvetica"/>
                <w:sz w:val="20"/>
                <w:szCs w:val="20"/>
              </w:rPr>
              <w:lastRenderedPageBreak/>
              <w:t xml:space="preserve">Financial Service Providers are </w:t>
            </w:r>
            <w:r w:rsidRPr="00B459EC">
              <w:rPr>
                <w:rFonts w:ascii="Helvetica" w:hAnsi="Helvetica" w:cs="Helvetica"/>
                <w:sz w:val="20"/>
                <w:szCs w:val="20"/>
              </w:rPr>
              <w:t xml:space="preserve">required to have </w:t>
            </w:r>
            <w:r w:rsidR="008E45B0" w:rsidRPr="00B459EC">
              <w:rPr>
                <w:rFonts w:ascii="Helvetica" w:hAnsi="Helvetica" w:cs="Helvetica"/>
                <w:sz w:val="20"/>
                <w:szCs w:val="20"/>
              </w:rPr>
              <w:t>a</w:t>
            </w:r>
            <w:r w:rsidRPr="00B459EC">
              <w:rPr>
                <w:rFonts w:ascii="Helvetica" w:hAnsi="Helvetica" w:cs="Helvetica"/>
                <w:sz w:val="20"/>
                <w:szCs w:val="20"/>
              </w:rPr>
              <w:t xml:space="preserve"> separate agreement which complies with the Guidelines requirements.</w:t>
            </w:r>
          </w:p>
          <w:p w14:paraId="71842819" w14:textId="77777777" w:rsidR="006D0D7B" w:rsidRPr="00B459EC" w:rsidRDefault="006D0D7B" w:rsidP="00B459EC">
            <w:pPr>
              <w:spacing w:line="360" w:lineRule="auto"/>
              <w:jc w:val="both"/>
              <w:rPr>
                <w:rFonts w:ascii="Helvetica" w:hAnsi="Helvetica" w:cs="Helvetica"/>
                <w:sz w:val="20"/>
                <w:szCs w:val="20"/>
              </w:rPr>
            </w:pPr>
          </w:p>
          <w:p w14:paraId="6C4E5CA0" w14:textId="65E1145A" w:rsidR="006D0D7B" w:rsidRPr="00B459EC" w:rsidRDefault="005830CD" w:rsidP="00B459EC">
            <w:pPr>
              <w:spacing w:line="360" w:lineRule="auto"/>
              <w:jc w:val="both"/>
              <w:rPr>
                <w:rFonts w:ascii="Helvetica" w:hAnsi="Helvetica" w:cs="Helvetica"/>
                <w:sz w:val="20"/>
                <w:szCs w:val="20"/>
              </w:rPr>
            </w:pPr>
            <w:r w:rsidRPr="00B459EC">
              <w:rPr>
                <w:rFonts w:ascii="Helvetica" w:hAnsi="Helvetica" w:cs="Helvetica"/>
                <w:sz w:val="20"/>
                <w:szCs w:val="20"/>
              </w:rPr>
              <w:t xml:space="preserve">Further, this is in line with </w:t>
            </w:r>
            <w:r w:rsidR="006D0D7B" w:rsidRPr="00B459EC">
              <w:rPr>
                <w:rFonts w:ascii="Helvetica" w:hAnsi="Helvetica" w:cs="Helvetica"/>
                <w:i/>
                <w:iCs/>
                <w:sz w:val="20"/>
                <w:szCs w:val="20"/>
              </w:rPr>
              <w:t>the Outsourcing Guidelines for Banks and Financial Institutions, 2021</w:t>
            </w:r>
            <w:r w:rsidR="006D0D7B" w:rsidRPr="00B459EC">
              <w:rPr>
                <w:rFonts w:ascii="Helvetica" w:hAnsi="Helvetica" w:cs="Helvetica"/>
                <w:sz w:val="20"/>
                <w:szCs w:val="20"/>
              </w:rPr>
              <w:t>.</w:t>
            </w:r>
          </w:p>
        </w:tc>
        <w:tc>
          <w:tcPr>
            <w:tcW w:w="2136" w:type="dxa"/>
          </w:tcPr>
          <w:p w14:paraId="1C6381E6" w14:textId="77777777" w:rsidR="006D0D7B" w:rsidRPr="00B459EC" w:rsidRDefault="006D0D7B" w:rsidP="00B459EC">
            <w:pPr>
              <w:pStyle w:val="ListParagraph"/>
              <w:spacing w:line="360" w:lineRule="auto"/>
              <w:ind w:left="360"/>
              <w:contextualSpacing w:val="0"/>
              <w:jc w:val="both"/>
              <w:rPr>
                <w:rFonts w:ascii="Helvetica" w:hAnsi="Helvetica" w:cs="Helvetica"/>
                <w:sz w:val="20"/>
                <w:szCs w:val="20"/>
              </w:rPr>
            </w:pPr>
          </w:p>
        </w:tc>
      </w:tr>
      <w:tr w:rsidR="00BC21C4" w:rsidRPr="00B459EC" w14:paraId="498C1623" w14:textId="307B1CC9" w:rsidTr="009D06EA">
        <w:tc>
          <w:tcPr>
            <w:tcW w:w="540" w:type="dxa"/>
          </w:tcPr>
          <w:p w14:paraId="17BF9A4E" w14:textId="77777777" w:rsidR="00BE42B1" w:rsidRPr="00B459EC" w:rsidRDefault="00BE42B1" w:rsidP="00B459EC">
            <w:pPr>
              <w:spacing w:line="360" w:lineRule="auto"/>
              <w:rPr>
                <w:rFonts w:ascii="Helvetica" w:hAnsi="Helvetica" w:cs="Helvetica"/>
                <w:sz w:val="20"/>
                <w:szCs w:val="20"/>
              </w:rPr>
            </w:pPr>
          </w:p>
        </w:tc>
        <w:tc>
          <w:tcPr>
            <w:tcW w:w="2790" w:type="dxa"/>
          </w:tcPr>
          <w:p w14:paraId="141A21B7" w14:textId="45FD0BEF"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The contract shall be reviewed by the financial service provider’s legal counsel to ensure that it is legally enforceable and that it reasonably protects the financial service provider from risk.</w:t>
            </w:r>
          </w:p>
        </w:tc>
        <w:tc>
          <w:tcPr>
            <w:tcW w:w="2790" w:type="dxa"/>
          </w:tcPr>
          <w:p w14:paraId="6ADA9C27" w14:textId="45C7F6D2"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A3F0B78"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c>
          <w:tcPr>
            <w:tcW w:w="2136" w:type="dxa"/>
          </w:tcPr>
          <w:p w14:paraId="7E0C28C0"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r>
      <w:tr w:rsidR="00BC21C4" w:rsidRPr="00B459EC" w14:paraId="36FB8630" w14:textId="338456DF" w:rsidTr="009D06EA">
        <w:tc>
          <w:tcPr>
            <w:tcW w:w="540" w:type="dxa"/>
          </w:tcPr>
          <w:p w14:paraId="150679C4" w14:textId="77777777" w:rsidR="00BE42B1" w:rsidRPr="00B459EC" w:rsidRDefault="00BE42B1" w:rsidP="00B459EC">
            <w:pPr>
              <w:spacing w:line="360" w:lineRule="auto"/>
              <w:rPr>
                <w:rFonts w:ascii="Helvetica" w:hAnsi="Helvetica" w:cs="Helvetica"/>
                <w:sz w:val="20"/>
                <w:szCs w:val="20"/>
              </w:rPr>
            </w:pPr>
          </w:p>
        </w:tc>
        <w:tc>
          <w:tcPr>
            <w:tcW w:w="2790" w:type="dxa"/>
          </w:tcPr>
          <w:p w14:paraId="1E3A2072" w14:textId="2C8F6AF1"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The financial service provider shall ensure that the written cloud computing contract(s) contain, among others, provisions pertaining to:</w:t>
            </w:r>
          </w:p>
        </w:tc>
        <w:tc>
          <w:tcPr>
            <w:tcW w:w="2790" w:type="dxa"/>
          </w:tcPr>
          <w:p w14:paraId="6ACE6DF3" w14:textId="746EC184"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4913E407"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c>
          <w:tcPr>
            <w:tcW w:w="2136" w:type="dxa"/>
          </w:tcPr>
          <w:p w14:paraId="77056C12"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r>
      <w:tr w:rsidR="00BC21C4" w:rsidRPr="00B459EC" w14:paraId="4151F724" w14:textId="260FDE2F" w:rsidTr="009D06EA">
        <w:tc>
          <w:tcPr>
            <w:tcW w:w="540" w:type="dxa"/>
          </w:tcPr>
          <w:p w14:paraId="4C84C1D8" w14:textId="77777777" w:rsidR="00BE42B1" w:rsidRPr="00B459EC" w:rsidRDefault="00BE42B1" w:rsidP="00B459EC">
            <w:pPr>
              <w:spacing w:line="360" w:lineRule="auto"/>
              <w:rPr>
                <w:rFonts w:ascii="Helvetica" w:hAnsi="Helvetica" w:cs="Helvetica"/>
                <w:sz w:val="20"/>
                <w:szCs w:val="20"/>
              </w:rPr>
            </w:pPr>
          </w:p>
        </w:tc>
        <w:tc>
          <w:tcPr>
            <w:tcW w:w="2790" w:type="dxa"/>
          </w:tcPr>
          <w:p w14:paraId="6A57B1EE" w14:textId="347A225B"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 The scope of services that the cloud service provider will provide.</w:t>
            </w:r>
          </w:p>
        </w:tc>
        <w:tc>
          <w:tcPr>
            <w:tcW w:w="2790" w:type="dxa"/>
          </w:tcPr>
          <w:p w14:paraId="65FF8727" w14:textId="3B6EE276"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2B972F44"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49CB7D6D"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38F19E1E" w14:textId="1E979BF6" w:rsidTr="009D06EA">
        <w:tc>
          <w:tcPr>
            <w:tcW w:w="540" w:type="dxa"/>
          </w:tcPr>
          <w:p w14:paraId="4518DA2F" w14:textId="77777777" w:rsidR="00BE42B1" w:rsidRPr="00B459EC" w:rsidRDefault="00BE42B1" w:rsidP="00B459EC">
            <w:pPr>
              <w:spacing w:line="360" w:lineRule="auto"/>
              <w:rPr>
                <w:rFonts w:ascii="Helvetica" w:hAnsi="Helvetica" w:cs="Helvetica"/>
                <w:sz w:val="20"/>
                <w:szCs w:val="20"/>
              </w:rPr>
            </w:pPr>
          </w:p>
        </w:tc>
        <w:tc>
          <w:tcPr>
            <w:tcW w:w="2790" w:type="dxa"/>
          </w:tcPr>
          <w:p w14:paraId="0082E757" w14:textId="1C0D4B92"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Service Level Agreement (SLA) </w:t>
            </w:r>
            <w:r w:rsidRPr="00B459EC">
              <w:rPr>
                <w:rFonts w:ascii="Helvetica" w:hAnsi="Helvetica" w:cs="Helvetica"/>
                <w:sz w:val="20"/>
                <w:szCs w:val="20"/>
              </w:rPr>
              <w:lastRenderedPageBreak/>
              <w:t xml:space="preserve">with the cloud service provider. </w:t>
            </w:r>
          </w:p>
        </w:tc>
        <w:tc>
          <w:tcPr>
            <w:tcW w:w="2790" w:type="dxa"/>
          </w:tcPr>
          <w:p w14:paraId="2E925040" w14:textId="04E81188"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446C25CD"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3946EC48"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7ABF0E5D" w14:textId="70E35DAB" w:rsidTr="009D06EA">
        <w:tc>
          <w:tcPr>
            <w:tcW w:w="540" w:type="dxa"/>
          </w:tcPr>
          <w:p w14:paraId="2471E3C9" w14:textId="77777777" w:rsidR="00BE42B1" w:rsidRPr="00B459EC" w:rsidRDefault="00BE42B1" w:rsidP="00B459EC">
            <w:pPr>
              <w:spacing w:line="360" w:lineRule="auto"/>
              <w:rPr>
                <w:rFonts w:ascii="Helvetica" w:hAnsi="Helvetica" w:cs="Helvetica"/>
                <w:sz w:val="20"/>
                <w:szCs w:val="20"/>
              </w:rPr>
            </w:pPr>
          </w:p>
        </w:tc>
        <w:tc>
          <w:tcPr>
            <w:tcW w:w="2790" w:type="dxa"/>
          </w:tcPr>
          <w:p w14:paraId="284BB081" w14:textId="6577151D"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 Provisions to enforce oversight and monitoring of the cloud computing service provider. </w:t>
            </w:r>
          </w:p>
        </w:tc>
        <w:tc>
          <w:tcPr>
            <w:tcW w:w="2790" w:type="dxa"/>
          </w:tcPr>
          <w:p w14:paraId="0B8C90F0" w14:textId="78E54321"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1B9993D5"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5D8D6F51"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53E46009" w14:textId="15F45C8E" w:rsidTr="009D06EA">
        <w:tc>
          <w:tcPr>
            <w:tcW w:w="540" w:type="dxa"/>
          </w:tcPr>
          <w:p w14:paraId="671DF94D" w14:textId="77777777" w:rsidR="00BE42B1" w:rsidRPr="00B459EC" w:rsidRDefault="00BE42B1" w:rsidP="00B459EC">
            <w:pPr>
              <w:spacing w:line="360" w:lineRule="auto"/>
              <w:rPr>
                <w:rFonts w:ascii="Helvetica" w:hAnsi="Helvetica" w:cs="Helvetica"/>
                <w:sz w:val="20"/>
                <w:szCs w:val="20"/>
              </w:rPr>
            </w:pPr>
          </w:p>
        </w:tc>
        <w:tc>
          <w:tcPr>
            <w:tcW w:w="2790" w:type="dxa"/>
          </w:tcPr>
          <w:p w14:paraId="0E970D42" w14:textId="403C5F3A"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The Bank’s right to access at any time records of transactions and any information given to, stored at, or processed by the cloud computing service provider, any report or any results of audits and security reviews on the cloud computing service provider, and any sub-contractor that the cloud computing service provider may use;</w:t>
            </w:r>
          </w:p>
        </w:tc>
        <w:tc>
          <w:tcPr>
            <w:tcW w:w="2790" w:type="dxa"/>
          </w:tcPr>
          <w:p w14:paraId="7DE5301B" w14:textId="716AEA27"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57F4A60F"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5A8F7D2A"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273F6536" w14:textId="4DC19C55" w:rsidTr="009D06EA">
        <w:tc>
          <w:tcPr>
            <w:tcW w:w="540" w:type="dxa"/>
          </w:tcPr>
          <w:p w14:paraId="74E5BDE1" w14:textId="77777777" w:rsidR="00BE42B1" w:rsidRPr="00B459EC" w:rsidRDefault="00BE42B1" w:rsidP="00B459EC">
            <w:pPr>
              <w:spacing w:line="360" w:lineRule="auto"/>
              <w:rPr>
                <w:rFonts w:ascii="Helvetica" w:hAnsi="Helvetica" w:cs="Helvetica"/>
                <w:sz w:val="20"/>
                <w:szCs w:val="20"/>
              </w:rPr>
            </w:pPr>
          </w:p>
        </w:tc>
        <w:tc>
          <w:tcPr>
            <w:tcW w:w="2790" w:type="dxa"/>
          </w:tcPr>
          <w:p w14:paraId="7B4528E9" w14:textId="03F1F8E3"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Right to audit or receive audit reports conducted by independent third parties;</w:t>
            </w:r>
          </w:p>
        </w:tc>
        <w:tc>
          <w:tcPr>
            <w:tcW w:w="2790" w:type="dxa"/>
          </w:tcPr>
          <w:p w14:paraId="54F935CE" w14:textId="13D9FA2C"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389D2923"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17974E2F"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EE2A80" w:rsidRPr="00B459EC" w14:paraId="054A8607" w14:textId="229F2ABB" w:rsidTr="009D06EA">
        <w:tc>
          <w:tcPr>
            <w:tcW w:w="540" w:type="dxa"/>
          </w:tcPr>
          <w:p w14:paraId="524F0E85" w14:textId="77777777" w:rsidR="00EE2A80" w:rsidRPr="00B459EC" w:rsidRDefault="00EE2A80" w:rsidP="00EE2A80">
            <w:pPr>
              <w:spacing w:line="360" w:lineRule="auto"/>
              <w:rPr>
                <w:rFonts w:ascii="Helvetica" w:hAnsi="Helvetica" w:cs="Helvetica"/>
                <w:sz w:val="20"/>
                <w:szCs w:val="20"/>
              </w:rPr>
            </w:pPr>
          </w:p>
        </w:tc>
        <w:tc>
          <w:tcPr>
            <w:tcW w:w="2790" w:type="dxa"/>
          </w:tcPr>
          <w:p w14:paraId="461A981E" w14:textId="2CB26164" w:rsidR="00EE2A80" w:rsidRPr="00B459EC" w:rsidRDefault="00EE2A80" w:rsidP="00EE2A80">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Availability of information to allow for regulatory oversight;</w:t>
            </w:r>
          </w:p>
        </w:tc>
        <w:tc>
          <w:tcPr>
            <w:tcW w:w="2790" w:type="dxa"/>
          </w:tcPr>
          <w:p w14:paraId="3729C7C0" w14:textId="0FD0CDE2" w:rsidR="00EE2A80" w:rsidRPr="009D06EA" w:rsidRDefault="00EE2A80" w:rsidP="009D06EA">
            <w:pPr>
              <w:spacing w:line="360" w:lineRule="auto"/>
              <w:jc w:val="both"/>
              <w:rPr>
                <w:rFonts w:ascii="Helvetica" w:hAnsi="Helvetica" w:cs="Helvetica"/>
                <w:sz w:val="20"/>
                <w:szCs w:val="20"/>
              </w:rPr>
            </w:pPr>
            <w:r w:rsidRPr="009D06EA">
              <w:rPr>
                <w:rFonts w:ascii="Helvetica" w:hAnsi="Helvetica" w:cs="Helvetica"/>
                <w:sz w:val="20"/>
                <w:szCs w:val="20"/>
              </w:rPr>
              <w:t>None</w:t>
            </w:r>
          </w:p>
        </w:tc>
        <w:tc>
          <w:tcPr>
            <w:tcW w:w="2430" w:type="dxa"/>
          </w:tcPr>
          <w:p w14:paraId="3084D28E"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c>
          <w:tcPr>
            <w:tcW w:w="2136" w:type="dxa"/>
          </w:tcPr>
          <w:p w14:paraId="4F37109D"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r>
      <w:tr w:rsidR="00EE2A80" w:rsidRPr="00B459EC" w14:paraId="1EE993E8" w14:textId="0E853838" w:rsidTr="009D06EA">
        <w:tc>
          <w:tcPr>
            <w:tcW w:w="540" w:type="dxa"/>
          </w:tcPr>
          <w:p w14:paraId="4618B36A" w14:textId="77777777" w:rsidR="00EE2A80" w:rsidRPr="00B459EC" w:rsidRDefault="00EE2A80" w:rsidP="00EE2A80">
            <w:pPr>
              <w:spacing w:line="360" w:lineRule="auto"/>
              <w:rPr>
                <w:rFonts w:ascii="Helvetica" w:hAnsi="Helvetica" w:cs="Helvetica"/>
                <w:sz w:val="20"/>
                <w:szCs w:val="20"/>
              </w:rPr>
            </w:pPr>
          </w:p>
        </w:tc>
        <w:tc>
          <w:tcPr>
            <w:tcW w:w="2790" w:type="dxa"/>
          </w:tcPr>
          <w:p w14:paraId="170466D4" w14:textId="3DECF250" w:rsidR="00EE2A80" w:rsidRPr="00B459EC" w:rsidRDefault="00EE2A80" w:rsidP="00EE2A80">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Exit strategies and clear termination procedures including clear provision in dealing with events of winding up, insolvency or regulatory takeover of cloud computing service provider;</w:t>
            </w:r>
          </w:p>
        </w:tc>
        <w:tc>
          <w:tcPr>
            <w:tcW w:w="2790" w:type="dxa"/>
          </w:tcPr>
          <w:p w14:paraId="48D0A64D" w14:textId="58771FDB" w:rsidR="00EE2A80" w:rsidRPr="009D06EA" w:rsidRDefault="00EE2A80" w:rsidP="009D06EA">
            <w:pPr>
              <w:spacing w:line="360" w:lineRule="auto"/>
              <w:jc w:val="both"/>
              <w:rPr>
                <w:rFonts w:ascii="Helvetica" w:hAnsi="Helvetica" w:cs="Helvetica"/>
                <w:sz w:val="20"/>
                <w:szCs w:val="20"/>
              </w:rPr>
            </w:pPr>
            <w:r w:rsidRPr="009D06EA">
              <w:rPr>
                <w:rFonts w:ascii="Helvetica" w:hAnsi="Helvetica" w:cs="Helvetica"/>
                <w:sz w:val="20"/>
                <w:szCs w:val="20"/>
              </w:rPr>
              <w:t>None</w:t>
            </w:r>
          </w:p>
        </w:tc>
        <w:tc>
          <w:tcPr>
            <w:tcW w:w="2430" w:type="dxa"/>
          </w:tcPr>
          <w:p w14:paraId="59FEB436"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c>
          <w:tcPr>
            <w:tcW w:w="2136" w:type="dxa"/>
          </w:tcPr>
          <w:p w14:paraId="27CA8660" w14:textId="77777777" w:rsidR="00EE2A80" w:rsidRPr="00B459EC" w:rsidRDefault="00EE2A80" w:rsidP="00EE2A80">
            <w:pPr>
              <w:pStyle w:val="ListParagraph"/>
              <w:spacing w:line="360" w:lineRule="auto"/>
              <w:contextualSpacing w:val="0"/>
              <w:jc w:val="both"/>
              <w:rPr>
                <w:rFonts w:ascii="Helvetica" w:hAnsi="Helvetica" w:cs="Helvetica"/>
                <w:sz w:val="20"/>
                <w:szCs w:val="20"/>
              </w:rPr>
            </w:pPr>
          </w:p>
        </w:tc>
      </w:tr>
      <w:tr w:rsidR="00BC21C4" w:rsidRPr="00B459EC" w14:paraId="6CB8363B" w14:textId="1F91D609" w:rsidTr="009D06EA">
        <w:tc>
          <w:tcPr>
            <w:tcW w:w="540" w:type="dxa"/>
          </w:tcPr>
          <w:p w14:paraId="0B8518EE" w14:textId="77777777" w:rsidR="00BE42B1" w:rsidRPr="00B459EC" w:rsidRDefault="00BE42B1" w:rsidP="00B459EC">
            <w:pPr>
              <w:spacing w:line="360" w:lineRule="auto"/>
              <w:rPr>
                <w:rFonts w:ascii="Helvetica" w:hAnsi="Helvetica" w:cs="Helvetica"/>
                <w:sz w:val="20"/>
                <w:szCs w:val="20"/>
              </w:rPr>
            </w:pPr>
          </w:p>
        </w:tc>
        <w:tc>
          <w:tcPr>
            <w:tcW w:w="2790" w:type="dxa"/>
          </w:tcPr>
          <w:p w14:paraId="01DBEA4D" w14:textId="3CA7C6DE"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Controls with regards to data availability, privacy and confidentiality, and integrity;</w:t>
            </w:r>
          </w:p>
        </w:tc>
        <w:tc>
          <w:tcPr>
            <w:tcW w:w="2790" w:type="dxa"/>
          </w:tcPr>
          <w:p w14:paraId="23173EDB" w14:textId="2F3B8B95"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0DD23602"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38CCE3D9"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534E7B9E" w14:textId="274DC7BC" w:rsidTr="009D06EA">
        <w:tc>
          <w:tcPr>
            <w:tcW w:w="540" w:type="dxa"/>
          </w:tcPr>
          <w:p w14:paraId="5F6F4DDE" w14:textId="77777777" w:rsidR="00BE42B1" w:rsidRPr="00B459EC" w:rsidRDefault="00BE42B1" w:rsidP="00B459EC">
            <w:pPr>
              <w:spacing w:line="360" w:lineRule="auto"/>
              <w:rPr>
                <w:rFonts w:ascii="Helvetica" w:hAnsi="Helvetica" w:cs="Helvetica"/>
                <w:sz w:val="20"/>
                <w:szCs w:val="20"/>
              </w:rPr>
            </w:pPr>
          </w:p>
        </w:tc>
        <w:tc>
          <w:tcPr>
            <w:tcW w:w="2790" w:type="dxa"/>
          </w:tcPr>
          <w:p w14:paraId="7205605B" w14:textId="0C1A139E"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Contingencies including infrastructure redundancy and backup arrangements to ensure business continuity;</w:t>
            </w:r>
          </w:p>
        </w:tc>
        <w:tc>
          <w:tcPr>
            <w:tcW w:w="2790" w:type="dxa"/>
          </w:tcPr>
          <w:p w14:paraId="376EC682" w14:textId="6F0026F5"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30F1D6FF"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6DF45135"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0353C282" w14:textId="50DC5D42" w:rsidTr="009D06EA">
        <w:tc>
          <w:tcPr>
            <w:tcW w:w="540" w:type="dxa"/>
          </w:tcPr>
          <w:p w14:paraId="62657300" w14:textId="77777777" w:rsidR="006D0D7B" w:rsidRPr="00B459EC" w:rsidRDefault="006D0D7B" w:rsidP="00B459EC">
            <w:pPr>
              <w:spacing w:line="360" w:lineRule="auto"/>
              <w:rPr>
                <w:rFonts w:ascii="Helvetica" w:hAnsi="Helvetica" w:cs="Helvetica"/>
                <w:sz w:val="20"/>
                <w:szCs w:val="20"/>
              </w:rPr>
            </w:pPr>
          </w:p>
        </w:tc>
        <w:tc>
          <w:tcPr>
            <w:tcW w:w="2790" w:type="dxa"/>
          </w:tcPr>
          <w:p w14:paraId="04E94048" w14:textId="4C0B23B3" w:rsidR="006D0D7B" w:rsidRPr="00B459EC" w:rsidRDefault="006D0D7B"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Notification requirements for any material changes to issues pertaining to underlying platforms, hardware, systems, controls, and contact person that facilitate delivery of cloud computing services; </w:t>
            </w:r>
          </w:p>
        </w:tc>
        <w:tc>
          <w:tcPr>
            <w:tcW w:w="2790" w:type="dxa"/>
          </w:tcPr>
          <w:p w14:paraId="48045255" w14:textId="48471F16" w:rsidR="006D0D7B" w:rsidRPr="00B459EC" w:rsidRDefault="006D0D7B" w:rsidP="00B459EC">
            <w:pPr>
              <w:spacing w:line="360" w:lineRule="auto"/>
              <w:jc w:val="both"/>
              <w:rPr>
                <w:rFonts w:ascii="Helvetica" w:hAnsi="Helvetica" w:cs="Helvetica"/>
                <w:sz w:val="20"/>
                <w:szCs w:val="20"/>
              </w:rPr>
            </w:pPr>
            <w:r w:rsidRPr="00B459EC">
              <w:rPr>
                <w:rFonts w:ascii="Helvetica" w:eastAsia="Times New Roman" w:hAnsi="Helvetica" w:cs="Helvetica"/>
                <w:sz w:val="20"/>
                <w:szCs w:val="20"/>
                <w:lang w:eastAsia="en-GB"/>
              </w:rPr>
              <w:t>In Cloud computing we are subscribing to the service (say: MS Office 365) and hence  interested in the performance of the service that is delivered to the Bank rather than the micro details regarding the peripheral systems that are used to support the service.</w:t>
            </w:r>
            <w:r w:rsidRPr="00B459EC">
              <w:rPr>
                <w:rFonts w:ascii="Helvetica" w:eastAsia="Times New Roman" w:hAnsi="Helvetica" w:cs="Helvetica"/>
                <w:sz w:val="20"/>
                <w:szCs w:val="20"/>
                <w:lang w:eastAsia="en-GB"/>
              </w:rPr>
              <w:br/>
              <w:t xml:space="preserve">In view of this, we propose </w:t>
            </w:r>
            <w:r w:rsidRPr="00B459EC">
              <w:rPr>
                <w:rFonts w:ascii="Helvetica" w:eastAsia="Times New Roman" w:hAnsi="Helvetica" w:cs="Helvetica"/>
                <w:sz w:val="20"/>
                <w:szCs w:val="20"/>
                <w:lang w:eastAsia="en-GB"/>
              </w:rPr>
              <w:lastRenderedPageBreak/>
              <w:t>that changes in underlying platforms, hardware, systems, controls, and contact person that facilitate delivery of cloud computing service should not require notification as long as the change does not result i</w:t>
            </w:r>
            <w:r w:rsidR="008E45B0">
              <w:rPr>
                <w:rFonts w:ascii="Helvetica" w:eastAsia="Times New Roman" w:hAnsi="Helvetica" w:cs="Helvetica"/>
                <w:sz w:val="20"/>
                <w:szCs w:val="20"/>
                <w:lang w:eastAsia="en-GB"/>
              </w:rPr>
              <w:t>n</w:t>
            </w:r>
            <w:r w:rsidRPr="00B459EC">
              <w:rPr>
                <w:rFonts w:ascii="Helvetica" w:eastAsia="Times New Roman" w:hAnsi="Helvetica" w:cs="Helvetica"/>
                <w:sz w:val="20"/>
                <w:szCs w:val="20"/>
                <w:lang w:eastAsia="en-GB"/>
              </w:rPr>
              <w:t xml:space="preserve"> material impact to the Financial Institutions.</w:t>
            </w:r>
          </w:p>
        </w:tc>
        <w:tc>
          <w:tcPr>
            <w:tcW w:w="2430" w:type="dxa"/>
          </w:tcPr>
          <w:p w14:paraId="33B17294" w14:textId="67426B27" w:rsidR="006D0D7B" w:rsidRPr="00B459EC" w:rsidRDefault="00423D66" w:rsidP="00B459EC">
            <w:pPr>
              <w:spacing w:line="360" w:lineRule="auto"/>
              <w:jc w:val="both"/>
              <w:rPr>
                <w:rFonts w:ascii="Helvetica" w:hAnsi="Helvetica" w:cs="Helvetica"/>
                <w:sz w:val="20"/>
                <w:szCs w:val="20"/>
              </w:rPr>
            </w:pPr>
            <w:r w:rsidRPr="00B459EC">
              <w:rPr>
                <w:rFonts w:ascii="Helvetica" w:hAnsi="Helvetica" w:cs="Helvetica"/>
                <w:sz w:val="20"/>
                <w:szCs w:val="20"/>
              </w:rPr>
              <w:lastRenderedPageBreak/>
              <w:t xml:space="preserve">The </w:t>
            </w:r>
            <w:r w:rsidR="006D0D7B" w:rsidRPr="00B459EC">
              <w:rPr>
                <w:rFonts w:ascii="Helvetica" w:hAnsi="Helvetica" w:cs="Helvetica"/>
                <w:sz w:val="20"/>
                <w:szCs w:val="20"/>
              </w:rPr>
              <w:t xml:space="preserve">provision </w:t>
            </w:r>
            <w:r w:rsidRPr="00B459EC">
              <w:rPr>
                <w:rFonts w:ascii="Helvetica" w:hAnsi="Helvetica" w:cs="Helvetica"/>
                <w:sz w:val="20"/>
                <w:szCs w:val="20"/>
              </w:rPr>
              <w:t xml:space="preserve">intends to ensure that </w:t>
            </w:r>
            <w:r w:rsidR="006D0D7B" w:rsidRPr="00B459EC">
              <w:rPr>
                <w:rFonts w:ascii="Helvetica" w:hAnsi="Helvetica" w:cs="Helvetica"/>
                <w:sz w:val="20"/>
                <w:szCs w:val="20"/>
              </w:rPr>
              <w:t xml:space="preserve">the </w:t>
            </w:r>
            <w:r w:rsidRPr="00B459EC">
              <w:rPr>
                <w:rFonts w:ascii="Helvetica" w:hAnsi="Helvetica" w:cs="Helvetica"/>
                <w:sz w:val="20"/>
                <w:szCs w:val="20"/>
              </w:rPr>
              <w:t>cloud service provider</w:t>
            </w:r>
            <w:r w:rsidR="006D0D7B" w:rsidRPr="00B459EC">
              <w:rPr>
                <w:rFonts w:ascii="Helvetica" w:hAnsi="Helvetica" w:cs="Helvetica"/>
                <w:sz w:val="20"/>
                <w:szCs w:val="20"/>
              </w:rPr>
              <w:t xml:space="preserve"> continue to provide </w:t>
            </w:r>
            <w:r w:rsidRPr="00B459EC">
              <w:rPr>
                <w:rFonts w:ascii="Helvetica" w:hAnsi="Helvetica" w:cs="Helvetica"/>
                <w:sz w:val="20"/>
                <w:szCs w:val="20"/>
              </w:rPr>
              <w:t>service</w:t>
            </w:r>
            <w:r w:rsidR="006D0D7B" w:rsidRPr="00B459EC">
              <w:rPr>
                <w:rFonts w:ascii="Helvetica" w:hAnsi="Helvetica" w:cs="Helvetica"/>
                <w:sz w:val="20"/>
                <w:szCs w:val="20"/>
              </w:rPr>
              <w:t xml:space="preserve"> </w:t>
            </w:r>
            <w:r w:rsidRPr="00B459EC">
              <w:rPr>
                <w:rFonts w:ascii="Helvetica" w:hAnsi="Helvetica" w:cs="Helvetica"/>
                <w:sz w:val="20"/>
                <w:szCs w:val="20"/>
              </w:rPr>
              <w:t>smoothly even in case of changes pertaining to underlying platforms, hardware, systems, controls, and contact person.</w:t>
            </w:r>
          </w:p>
        </w:tc>
        <w:tc>
          <w:tcPr>
            <w:tcW w:w="2136" w:type="dxa"/>
          </w:tcPr>
          <w:p w14:paraId="30F28252" w14:textId="38292536" w:rsidR="006D0D7B" w:rsidRPr="009D06EA" w:rsidRDefault="006F6055" w:rsidP="009D06EA">
            <w:pPr>
              <w:spacing w:line="360" w:lineRule="auto"/>
              <w:jc w:val="both"/>
              <w:rPr>
                <w:rFonts w:ascii="Helvetica" w:hAnsi="Helvetica" w:cs="Helvetica"/>
                <w:sz w:val="20"/>
                <w:szCs w:val="20"/>
              </w:rPr>
            </w:pPr>
            <w:r w:rsidRPr="00B712B0">
              <w:rPr>
                <w:rFonts w:ascii="Arial" w:eastAsia="Times New Roman" w:hAnsi="Arial" w:cs="Arial"/>
                <w:color w:val="000000"/>
                <w:sz w:val="20"/>
                <w:szCs w:val="20"/>
              </w:rPr>
              <w:t>Notification requirements for any material changes to that may impact availability of service provided by cloud service provider.</w:t>
            </w:r>
          </w:p>
        </w:tc>
      </w:tr>
      <w:tr w:rsidR="00BC21C4" w:rsidRPr="00B459EC" w14:paraId="6B53EDF6" w14:textId="627E595B" w:rsidTr="009D06EA">
        <w:tc>
          <w:tcPr>
            <w:tcW w:w="540" w:type="dxa"/>
          </w:tcPr>
          <w:p w14:paraId="4E5C6A18" w14:textId="77777777" w:rsidR="00BE42B1" w:rsidRPr="00B459EC" w:rsidRDefault="00BE42B1" w:rsidP="00B459EC">
            <w:pPr>
              <w:spacing w:line="360" w:lineRule="auto"/>
              <w:rPr>
                <w:rFonts w:ascii="Helvetica" w:hAnsi="Helvetica" w:cs="Helvetica"/>
                <w:sz w:val="20"/>
                <w:szCs w:val="20"/>
              </w:rPr>
            </w:pPr>
          </w:p>
        </w:tc>
        <w:tc>
          <w:tcPr>
            <w:tcW w:w="2790" w:type="dxa"/>
          </w:tcPr>
          <w:p w14:paraId="3F59991E" w14:textId="68F9B332"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Roles and responsibilities in administering and protecting the cloud computing solutions; and</w:t>
            </w:r>
          </w:p>
        </w:tc>
        <w:tc>
          <w:tcPr>
            <w:tcW w:w="2790" w:type="dxa"/>
          </w:tcPr>
          <w:p w14:paraId="2C6964B4" w14:textId="73F08330"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502D4FED"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2436E289"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BC21C4" w:rsidRPr="00B459EC" w14:paraId="7087753C" w14:textId="689D5984" w:rsidTr="009D06EA">
        <w:tc>
          <w:tcPr>
            <w:tcW w:w="540" w:type="dxa"/>
          </w:tcPr>
          <w:p w14:paraId="35F3197A" w14:textId="77777777" w:rsidR="00BE42B1" w:rsidRPr="00B459EC" w:rsidRDefault="00BE42B1" w:rsidP="00B459EC">
            <w:pPr>
              <w:spacing w:line="360" w:lineRule="auto"/>
              <w:rPr>
                <w:rFonts w:ascii="Helvetica" w:hAnsi="Helvetica" w:cs="Helvetica"/>
                <w:sz w:val="20"/>
                <w:szCs w:val="20"/>
              </w:rPr>
            </w:pPr>
          </w:p>
        </w:tc>
        <w:tc>
          <w:tcPr>
            <w:tcW w:w="2790" w:type="dxa"/>
          </w:tcPr>
          <w:p w14:paraId="0DDCF3F3" w14:textId="4A5EE7E5" w:rsidR="00BE42B1" w:rsidRPr="00B459EC" w:rsidRDefault="00BE42B1" w:rsidP="00B459EC">
            <w:pPr>
              <w:pStyle w:val="ListParagraph"/>
              <w:numPr>
                <w:ilvl w:val="0"/>
                <w:numId w:val="34"/>
              </w:numPr>
              <w:spacing w:line="360" w:lineRule="auto"/>
              <w:contextualSpacing w:val="0"/>
              <w:jc w:val="both"/>
              <w:rPr>
                <w:rFonts w:ascii="Helvetica" w:hAnsi="Helvetica" w:cs="Helvetica"/>
                <w:sz w:val="20"/>
                <w:szCs w:val="20"/>
              </w:rPr>
            </w:pPr>
            <w:r w:rsidRPr="00B459EC">
              <w:rPr>
                <w:rFonts w:ascii="Helvetica" w:hAnsi="Helvetica" w:cs="Helvetica"/>
                <w:sz w:val="20"/>
                <w:szCs w:val="20"/>
              </w:rPr>
              <w:t>Dealing with the expected or unexpected termination of a contract and other cloud computing service interruptions;</w:t>
            </w:r>
          </w:p>
        </w:tc>
        <w:tc>
          <w:tcPr>
            <w:tcW w:w="2790" w:type="dxa"/>
          </w:tcPr>
          <w:p w14:paraId="28EEF113" w14:textId="6737020C"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042879D3"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c>
          <w:tcPr>
            <w:tcW w:w="2136" w:type="dxa"/>
          </w:tcPr>
          <w:p w14:paraId="777FFC2F" w14:textId="77777777" w:rsidR="00BE42B1" w:rsidRPr="00B459EC" w:rsidRDefault="00BE42B1" w:rsidP="00B459EC">
            <w:pPr>
              <w:pStyle w:val="ListParagraph"/>
              <w:spacing w:line="360" w:lineRule="auto"/>
              <w:contextualSpacing w:val="0"/>
              <w:jc w:val="both"/>
              <w:rPr>
                <w:rFonts w:ascii="Helvetica" w:hAnsi="Helvetica" w:cs="Helvetica"/>
                <w:sz w:val="20"/>
                <w:szCs w:val="20"/>
              </w:rPr>
            </w:pPr>
          </w:p>
        </w:tc>
      </w:tr>
      <w:tr w:rsidR="007A5C80" w:rsidRPr="00B459EC" w14:paraId="7B1AE130" w14:textId="77777777" w:rsidTr="009D06EA">
        <w:tc>
          <w:tcPr>
            <w:tcW w:w="540" w:type="dxa"/>
          </w:tcPr>
          <w:p w14:paraId="669A54D6" w14:textId="77777777" w:rsidR="007A5C80" w:rsidRPr="00B459EC" w:rsidRDefault="007A5C80" w:rsidP="007A5C80">
            <w:pPr>
              <w:spacing w:line="360" w:lineRule="auto"/>
              <w:rPr>
                <w:rFonts w:ascii="Helvetica" w:hAnsi="Helvetica" w:cs="Helvetica"/>
                <w:sz w:val="20"/>
                <w:szCs w:val="20"/>
              </w:rPr>
            </w:pPr>
          </w:p>
        </w:tc>
        <w:tc>
          <w:tcPr>
            <w:tcW w:w="2790" w:type="dxa"/>
          </w:tcPr>
          <w:p w14:paraId="49B57DF8" w14:textId="77777777" w:rsidR="007A5C80" w:rsidRPr="00B459EC" w:rsidRDefault="007A5C80" w:rsidP="009D06EA">
            <w:pPr>
              <w:pStyle w:val="ListParagraph"/>
              <w:spacing w:line="360" w:lineRule="auto"/>
              <w:contextualSpacing w:val="0"/>
              <w:jc w:val="both"/>
              <w:rPr>
                <w:rFonts w:ascii="Helvetica" w:hAnsi="Helvetica" w:cs="Helvetica"/>
                <w:sz w:val="20"/>
                <w:szCs w:val="20"/>
              </w:rPr>
            </w:pPr>
          </w:p>
        </w:tc>
        <w:tc>
          <w:tcPr>
            <w:tcW w:w="2790" w:type="dxa"/>
          </w:tcPr>
          <w:p w14:paraId="52AE5FF8" w14:textId="77777777" w:rsidR="007A5C80" w:rsidRDefault="007A5C80" w:rsidP="007A5C80">
            <w:pPr>
              <w:spacing w:line="360" w:lineRule="auto"/>
              <w:jc w:val="both"/>
              <w:rPr>
                <w:rFonts w:ascii="Helvetica" w:hAnsi="Helvetica" w:cs="Helvetica"/>
                <w:sz w:val="20"/>
                <w:szCs w:val="20"/>
              </w:rPr>
            </w:pPr>
          </w:p>
        </w:tc>
        <w:tc>
          <w:tcPr>
            <w:tcW w:w="2430" w:type="dxa"/>
            <w:vAlign w:val="center"/>
          </w:tcPr>
          <w:p w14:paraId="06A494E0" w14:textId="76A9F689" w:rsidR="007A5C80" w:rsidRPr="009D06EA" w:rsidRDefault="007A5C80" w:rsidP="009D06EA">
            <w:pPr>
              <w:spacing w:line="360" w:lineRule="auto"/>
              <w:jc w:val="both"/>
              <w:rPr>
                <w:rFonts w:ascii="Helvetica" w:hAnsi="Helvetica" w:cs="Helvetica"/>
                <w:sz w:val="20"/>
                <w:szCs w:val="20"/>
              </w:rPr>
            </w:pPr>
            <w:r w:rsidRPr="009D06EA">
              <w:rPr>
                <w:rFonts w:ascii="Helvetica" w:hAnsi="Helvetica" w:cs="Helvetica"/>
                <w:sz w:val="20"/>
                <w:szCs w:val="20"/>
              </w:rPr>
              <w:t>Added guideline 14 to cater for requirements for annual review of the financial and operational condition of the Cloud Service Provider.</w:t>
            </w:r>
          </w:p>
        </w:tc>
        <w:tc>
          <w:tcPr>
            <w:tcW w:w="2136" w:type="dxa"/>
            <w:vAlign w:val="center"/>
          </w:tcPr>
          <w:p w14:paraId="72EFF870" w14:textId="13DEC878" w:rsidR="007A5C80" w:rsidRPr="009D06EA" w:rsidRDefault="007A5C80" w:rsidP="009D06EA">
            <w:pPr>
              <w:pStyle w:val="ListParagraph"/>
              <w:numPr>
                <w:ilvl w:val="0"/>
                <w:numId w:val="37"/>
              </w:numPr>
              <w:spacing w:line="360" w:lineRule="auto"/>
              <w:contextualSpacing w:val="0"/>
              <w:jc w:val="both"/>
              <w:rPr>
                <w:rFonts w:ascii="Helvetica" w:hAnsi="Helvetica" w:cs="Helvetica"/>
                <w:sz w:val="20"/>
                <w:szCs w:val="20"/>
              </w:rPr>
            </w:pPr>
            <w:r w:rsidRPr="009D06EA">
              <w:rPr>
                <w:rFonts w:ascii="Helvetica" w:hAnsi="Helvetica" w:cs="Helvetica"/>
                <w:sz w:val="20"/>
                <w:szCs w:val="20"/>
              </w:rPr>
              <w:t xml:space="preserve">A financial service provider shall, at a minimum, conduct an annual review of the financial and operational condition of the Cloud Service Provider to </w:t>
            </w:r>
            <w:r w:rsidRPr="009D06EA">
              <w:rPr>
                <w:rFonts w:ascii="Helvetica" w:hAnsi="Helvetica" w:cs="Helvetica"/>
                <w:sz w:val="20"/>
                <w:szCs w:val="20"/>
              </w:rPr>
              <w:lastRenderedPageBreak/>
              <w:t>assess its continued ability to deliver cloud computing services. Such due diligence shall be based on all reasonably available information and shall identify any material deterioration in performance, breaches of confidentiality or security obligations, or deficiencies in business continuity preparedness</w:t>
            </w:r>
          </w:p>
        </w:tc>
      </w:tr>
      <w:tr w:rsidR="00BC21C4" w:rsidRPr="00B459EC" w14:paraId="17CD203A" w14:textId="7F48F3E7" w:rsidTr="009D06EA">
        <w:tc>
          <w:tcPr>
            <w:tcW w:w="540" w:type="dxa"/>
          </w:tcPr>
          <w:p w14:paraId="2F8D3634" w14:textId="77777777" w:rsidR="00BE42B1" w:rsidRPr="00B459EC" w:rsidRDefault="00BE42B1" w:rsidP="00B459EC">
            <w:pPr>
              <w:pStyle w:val="Heading1"/>
              <w:spacing w:before="0" w:line="360" w:lineRule="auto"/>
              <w:outlineLvl w:val="0"/>
              <w:rPr>
                <w:rFonts w:ascii="Helvetica" w:hAnsi="Helvetica" w:cs="Helvetica"/>
                <w:b/>
                <w:color w:val="auto"/>
                <w:sz w:val="20"/>
                <w:szCs w:val="20"/>
              </w:rPr>
            </w:pPr>
          </w:p>
        </w:tc>
        <w:tc>
          <w:tcPr>
            <w:tcW w:w="2790" w:type="dxa"/>
          </w:tcPr>
          <w:p w14:paraId="3C36A7B8" w14:textId="6D715315"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bookmarkStart w:id="8" w:name="_Toc150264752"/>
            <w:r w:rsidRPr="00B459EC">
              <w:rPr>
                <w:rFonts w:ascii="Helvetica" w:hAnsi="Helvetica" w:cs="Helvetica"/>
                <w:b/>
                <w:color w:val="auto"/>
                <w:sz w:val="20"/>
                <w:szCs w:val="20"/>
              </w:rPr>
              <w:t>PART IV</w:t>
            </w:r>
            <w:bookmarkEnd w:id="8"/>
            <w:r w:rsidRPr="00B459EC">
              <w:rPr>
                <w:rFonts w:ascii="Helvetica" w:hAnsi="Helvetica" w:cs="Helvetica"/>
                <w:b/>
                <w:color w:val="auto"/>
                <w:sz w:val="20"/>
                <w:szCs w:val="20"/>
              </w:rPr>
              <w:t xml:space="preserve"> </w:t>
            </w:r>
          </w:p>
        </w:tc>
        <w:tc>
          <w:tcPr>
            <w:tcW w:w="2790" w:type="dxa"/>
          </w:tcPr>
          <w:p w14:paraId="5F840F95"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430" w:type="dxa"/>
          </w:tcPr>
          <w:p w14:paraId="6D533D37"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c>
          <w:tcPr>
            <w:tcW w:w="2136" w:type="dxa"/>
          </w:tcPr>
          <w:p w14:paraId="2CC1DDC7" w14:textId="77777777" w:rsidR="00BE42B1" w:rsidRPr="00B459EC" w:rsidRDefault="00BE42B1" w:rsidP="00B459EC">
            <w:pPr>
              <w:pStyle w:val="Heading1"/>
              <w:spacing w:before="0" w:line="360" w:lineRule="auto"/>
              <w:jc w:val="center"/>
              <w:outlineLvl w:val="0"/>
              <w:rPr>
                <w:rFonts w:ascii="Helvetica" w:hAnsi="Helvetica" w:cs="Helvetica"/>
                <w:b/>
                <w:color w:val="auto"/>
                <w:sz w:val="20"/>
                <w:szCs w:val="20"/>
              </w:rPr>
            </w:pPr>
          </w:p>
        </w:tc>
      </w:tr>
      <w:tr w:rsidR="00BC21C4" w:rsidRPr="00B459EC" w14:paraId="22447FD0" w14:textId="2465F4AF" w:rsidTr="009D06EA">
        <w:tc>
          <w:tcPr>
            <w:tcW w:w="540" w:type="dxa"/>
          </w:tcPr>
          <w:p w14:paraId="625C1600" w14:textId="77777777" w:rsidR="00BE42B1" w:rsidRPr="00B459EC" w:rsidRDefault="00BE42B1" w:rsidP="00B459EC">
            <w:pPr>
              <w:pStyle w:val="Heading2"/>
              <w:spacing w:before="0" w:line="360" w:lineRule="auto"/>
              <w:outlineLvl w:val="1"/>
              <w:rPr>
                <w:rFonts w:ascii="Helvetica" w:hAnsi="Helvetica" w:cs="Helvetica"/>
                <w:b/>
                <w:color w:val="000000" w:themeColor="text1"/>
                <w:sz w:val="20"/>
                <w:szCs w:val="20"/>
              </w:rPr>
            </w:pPr>
          </w:p>
        </w:tc>
        <w:tc>
          <w:tcPr>
            <w:tcW w:w="2790" w:type="dxa"/>
          </w:tcPr>
          <w:p w14:paraId="335A1781" w14:textId="5765402E"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bookmarkStart w:id="9" w:name="_Toc150264753"/>
            <w:r w:rsidRPr="00B459EC">
              <w:rPr>
                <w:rFonts w:ascii="Helvetica" w:hAnsi="Helvetica" w:cs="Helvetica"/>
                <w:b/>
                <w:color w:val="000000" w:themeColor="text1"/>
                <w:sz w:val="20"/>
                <w:szCs w:val="20"/>
              </w:rPr>
              <w:t>Cloud Computing Policy</w:t>
            </w:r>
            <w:bookmarkEnd w:id="9"/>
          </w:p>
        </w:tc>
        <w:tc>
          <w:tcPr>
            <w:tcW w:w="2790" w:type="dxa"/>
          </w:tcPr>
          <w:p w14:paraId="5FD44B78"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430" w:type="dxa"/>
          </w:tcPr>
          <w:p w14:paraId="65D0AE57"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c>
          <w:tcPr>
            <w:tcW w:w="2136" w:type="dxa"/>
          </w:tcPr>
          <w:p w14:paraId="7668ABCC" w14:textId="77777777" w:rsidR="00BE42B1" w:rsidRPr="00B459EC" w:rsidRDefault="00BE42B1" w:rsidP="00B459EC">
            <w:pPr>
              <w:pStyle w:val="Heading2"/>
              <w:spacing w:before="0" w:line="360" w:lineRule="auto"/>
              <w:jc w:val="center"/>
              <w:outlineLvl w:val="1"/>
              <w:rPr>
                <w:rFonts w:ascii="Helvetica" w:hAnsi="Helvetica" w:cs="Helvetica"/>
                <w:b/>
                <w:color w:val="000000" w:themeColor="text1"/>
                <w:sz w:val="20"/>
                <w:szCs w:val="20"/>
              </w:rPr>
            </w:pPr>
          </w:p>
        </w:tc>
      </w:tr>
      <w:tr w:rsidR="00BC21C4" w:rsidRPr="00B459EC" w14:paraId="3C4BF5A3" w14:textId="2893A33A" w:rsidTr="009D06EA">
        <w:tc>
          <w:tcPr>
            <w:tcW w:w="540" w:type="dxa"/>
          </w:tcPr>
          <w:p w14:paraId="7B47FA5B" w14:textId="77777777" w:rsidR="00BE42B1" w:rsidRPr="00B459EC" w:rsidRDefault="00BE42B1" w:rsidP="00B459EC">
            <w:pPr>
              <w:spacing w:line="360" w:lineRule="auto"/>
              <w:rPr>
                <w:rFonts w:ascii="Helvetica" w:hAnsi="Helvetica" w:cs="Helvetica"/>
                <w:sz w:val="20"/>
                <w:szCs w:val="20"/>
              </w:rPr>
            </w:pPr>
          </w:p>
        </w:tc>
        <w:tc>
          <w:tcPr>
            <w:tcW w:w="2790" w:type="dxa"/>
          </w:tcPr>
          <w:p w14:paraId="38E82122" w14:textId="01C4F06B"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The financial service provider shall have a general policy on its approach to all aspects of cloud computing solution. To be effective, the policy must be communicated in a timely manner and shall be implemented through </w:t>
            </w:r>
            <w:r w:rsidRPr="00B459EC">
              <w:rPr>
                <w:rFonts w:ascii="Helvetica" w:hAnsi="Helvetica" w:cs="Helvetica"/>
                <w:sz w:val="20"/>
                <w:szCs w:val="20"/>
              </w:rPr>
              <w:lastRenderedPageBreak/>
              <w:t>all relevant levels of the financial service provider, and be reviewed annually.</w:t>
            </w:r>
          </w:p>
        </w:tc>
        <w:tc>
          <w:tcPr>
            <w:tcW w:w="2790" w:type="dxa"/>
          </w:tcPr>
          <w:p w14:paraId="799799FD" w14:textId="0E8A4858"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2134FD2E"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c>
          <w:tcPr>
            <w:tcW w:w="2136" w:type="dxa"/>
          </w:tcPr>
          <w:p w14:paraId="42E9B41F"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r>
      <w:tr w:rsidR="00BC21C4" w:rsidRPr="00B459EC" w14:paraId="334119F2" w14:textId="1AAFF11D" w:rsidTr="009D06EA">
        <w:tc>
          <w:tcPr>
            <w:tcW w:w="540" w:type="dxa"/>
          </w:tcPr>
          <w:p w14:paraId="5BA1444F" w14:textId="77777777" w:rsidR="00BE42B1" w:rsidRPr="00B459EC" w:rsidRDefault="00BE42B1" w:rsidP="00B459EC">
            <w:pPr>
              <w:spacing w:line="360" w:lineRule="auto"/>
              <w:rPr>
                <w:rFonts w:ascii="Helvetica" w:hAnsi="Helvetica" w:cs="Helvetica"/>
                <w:sz w:val="20"/>
                <w:szCs w:val="20"/>
              </w:rPr>
            </w:pPr>
          </w:p>
        </w:tc>
        <w:tc>
          <w:tcPr>
            <w:tcW w:w="2790" w:type="dxa"/>
          </w:tcPr>
          <w:p w14:paraId="491B315A" w14:textId="135C6BD3"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In setting up the policy, the financial service provider shall bear in mind that no cloud computing service is risk-free. Therefore, at minimum, the cloud computing policy shall:</w:t>
            </w:r>
          </w:p>
        </w:tc>
        <w:tc>
          <w:tcPr>
            <w:tcW w:w="2790" w:type="dxa"/>
          </w:tcPr>
          <w:p w14:paraId="16AFC8A1" w14:textId="43AF85CF"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4FF4AB4A"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c>
          <w:tcPr>
            <w:tcW w:w="2136" w:type="dxa"/>
          </w:tcPr>
          <w:p w14:paraId="6AC1B5EE"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r>
      <w:tr w:rsidR="00BC21C4" w:rsidRPr="00B459EC" w14:paraId="3837A670" w14:textId="246D67D8" w:rsidTr="009D06EA">
        <w:tc>
          <w:tcPr>
            <w:tcW w:w="540" w:type="dxa"/>
          </w:tcPr>
          <w:p w14:paraId="5BB260CB" w14:textId="77777777" w:rsidR="00BE42B1" w:rsidRPr="00B459EC" w:rsidRDefault="00BE42B1" w:rsidP="00B459EC">
            <w:pPr>
              <w:spacing w:line="360" w:lineRule="auto"/>
              <w:rPr>
                <w:rFonts w:ascii="Helvetica" w:hAnsi="Helvetica" w:cs="Helvetica"/>
                <w:sz w:val="20"/>
                <w:szCs w:val="20"/>
              </w:rPr>
            </w:pPr>
          </w:p>
        </w:tc>
        <w:tc>
          <w:tcPr>
            <w:tcW w:w="2790" w:type="dxa"/>
          </w:tcPr>
          <w:p w14:paraId="638D20FE" w14:textId="54C66F8D"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cover the mechanism for appropriate monitoring and assessment of the cloud computing solution by the financial service provider;</w:t>
            </w:r>
          </w:p>
        </w:tc>
        <w:tc>
          <w:tcPr>
            <w:tcW w:w="2790" w:type="dxa"/>
          </w:tcPr>
          <w:p w14:paraId="3F4E105B" w14:textId="29FA7FCB"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7D10B22E"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14359107"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6B02C150" w14:textId="66097EED" w:rsidTr="009D06EA">
        <w:tc>
          <w:tcPr>
            <w:tcW w:w="540" w:type="dxa"/>
          </w:tcPr>
          <w:p w14:paraId="3729101A" w14:textId="77777777" w:rsidR="00BE42B1" w:rsidRPr="00B459EC" w:rsidRDefault="00BE42B1" w:rsidP="00B459EC">
            <w:pPr>
              <w:spacing w:line="360" w:lineRule="auto"/>
              <w:rPr>
                <w:rFonts w:ascii="Helvetica" w:hAnsi="Helvetica" w:cs="Helvetica"/>
                <w:sz w:val="20"/>
                <w:szCs w:val="20"/>
              </w:rPr>
            </w:pPr>
          </w:p>
        </w:tc>
        <w:tc>
          <w:tcPr>
            <w:tcW w:w="2790" w:type="dxa"/>
          </w:tcPr>
          <w:p w14:paraId="49F8DB52" w14:textId="65382D27"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specify an internal unit or individual responsible for supervising and managing each cloud computing solution;</w:t>
            </w:r>
          </w:p>
        </w:tc>
        <w:tc>
          <w:tcPr>
            <w:tcW w:w="2790" w:type="dxa"/>
          </w:tcPr>
          <w:p w14:paraId="2A450EBA" w14:textId="17D9DE23"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37F2C253"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15572B95"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31DBBD01" w14:textId="4C2FB2AB" w:rsidTr="009D06EA">
        <w:tc>
          <w:tcPr>
            <w:tcW w:w="540" w:type="dxa"/>
          </w:tcPr>
          <w:p w14:paraId="7D60CC01" w14:textId="77777777" w:rsidR="00BE42B1" w:rsidRPr="00B459EC" w:rsidRDefault="00BE42B1" w:rsidP="00B459EC">
            <w:pPr>
              <w:spacing w:line="360" w:lineRule="auto"/>
              <w:rPr>
                <w:rFonts w:ascii="Helvetica" w:hAnsi="Helvetica" w:cs="Helvetica"/>
                <w:sz w:val="20"/>
                <w:szCs w:val="20"/>
              </w:rPr>
            </w:pPr>
          </w:p>
        </w:tc>
        <w:tc>
          <w:tcPr>
            <w:tcW w:w="2790" w:type="dxa"/>
          </w:tcPr>
          <w:p w14:paraId="63BF02CF" w14:textId="3D5B949B"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bookmarkStart w:id="10" w:name="_Hlk150183495"/>
            <w:r w:rsidRPr="00B459EC">
              <w:rPr>
                <w:rFonts w:ascii="Helvetica" w:hAnsi="Helvetica" w:cs="Helvetica"/>
                <w:sz w:val="20"/>
                <w:szCs w:val="20"/>
              </w:rPr>
              <w:t xml:space="preserve">specify arrangement and modalities of recovering the </w:t>
            </w:r>
            <w:r w:rsidRPr="00B459EC">
              <w:rPr>
                <w:rFonts w:ascii="Helvetica" w:hAnsi="Helvetica" w:cs="Helvetica"/>
                <w:sz w:val="20"/>
                <w:szCs w:val="20"/>
              </w:rPr>
              <w:lastRenderedPageBreak/>
              <w:t>resources such as data, in case of any dispute on the contract or political unrest;</w:t>
            </w:r>
          </w:p>
        </w:tc>
        <w:tc>
          <w:tcPr>
            <w:tcW w:w="2790" w:type="dxa"/>
          </w:tcPr>
          <w:p w14:paraId="1DE0EF60" w14:textId="71DE3E0A"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19BC110F"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5CE62528"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3FB8A33E" w14:textId="042C63F9" w:rsidTr="009D06EA">
        <w:tc>
          <w:tcPr>
            <w:tcW w:w="540" w:type="dxa"/>
          </w:tcPr>
          <w:p w14:paraId="003D4E6D" w14:textId="77777777" w:rsidR="00BE42B1" w:rsidRPr="00B459EC" w:rsidRDefault="00BE42B1" w:rsidP="00B459EC">
            <w:pPr>
              <w:spacing w:line="360" w:lineRule="auto"/>
              <w:rPr>
                <w:rFonts w:ascii="Helvetica" w:hAnsi="Helvetica" w:cs="Helvetica"/>
                <w:sz w:val="20"/>
                <w:szCs w:val="20"/>
              </w:rPr>
            </w:pPr>
          </w:p>
        </w:tc>
        <w:bookmarkEnd w:id="10"/>
        <w:tc>
          <w:tcPr>
            <w:tcW w:w="2790" w:type="dxa"/>
          </w:tcPr>
          <w:p w14:paraId="55EEA83A" w14:textId="057F506E"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cover well-defined acquisition process with evaluation components such as terms of reference document, specification of requirements and evaluation of proposals;</w:t>
            </w:r>
          </w:p>
        </w:tc>
        <w:tc>
          <w:tcPr>
            <w:tcW w:w="2790" w:type="dxa"/>
          </w:tcPr>
          <w:p w14:paraId="540F87A7" w14:textId="49A97906"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66447BCC"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36040546"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330316FB" w14:textId="534B22A6" w:rsidTr="009D06EA">
        <w:tc>
          <w:tcPr>
            <w:tcW w:w="540" w:type="dxa"/>
          </w:tcPr>
          <w:p w14:paraId="6953C5F1" w14:textId="77777777" w:rsidR="00BE42B1" w:rsidRPr="00B459EC" w:rsidRDefault="00BE42B1" w:rsidP="00B459EC">
            <w:pPr>
              <w:spacing w:line="360" w:lineRule="auto"/>
              <w:rPr>
                <w:rFonts w:ascii="Helvetica" w:hAnsi="Helvetica" w:cs="Helvetica"/>
                <w:sz w:val="20"/>
                <w:szCs w:val="20"/>
              </w:rPr>
            </w:pPr>
          </w:p>
        </w:tc>
        <w:tc>
          <w:tcPr>
            <w:tcW w:w="2790" w:type="dxa"/>
          </w:tcPr>
          <w:p w14:paraId="295B6A20" w14:textId="4AF6637E"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provide for initial and periodic due diligence at least annually or more frequently in line with changes in circumstances on the cloud computing service provider; </w:t>
            </w:r>
          </w:p>
        </w:tc>
        <w:tc>
          <w:tcPr>
            <w:tcW w:w="2790" w:type="dxa"/>
          </w:tcPr>
          <w:p w14:paraId="4AE6FEE5" w14:textId="556F7893"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10BF30A7"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047D1A71"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37B7645D" w14:textId="4E6C1640" w:rsidTr="009D06EA">
        <w:tc>
          <w:tcPr>
            <w:tcW w:w="540" w:type="dxa"/>
          </w:tcPr>
          <w:p w14:paraId="4CAB521A" w14:textId="77777777" w:rsidR="00BE42B1" w:rsidRPr="00B459EC" w:rsidRDefault="00BE42B1" w:rsidP="00B459EC">
            <w:pPr>
              <w:spacing w:line="360" w:lineRule="auto"/>
              <w:rPr>
                <w:rFonts w:ascii="Helvetica" w:hAnsi="Helvetica" w:cs="Helvetica"/>
                <w:sz w:val="20"/>
                <w:szCs w:val="20"/>
              </w:rPr>
            </w:pPr>
          </w:p>
        </w:tc>
        <w:tc>
          <w:tcPr>
            <w:tcW w:w="2790" w:type="dxa"/>
          </w:tcPr>
          <w:p w14:paraId="18956E5B" w14:textId="4DDDAFBA"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cover the financial service provider’s plan and implementation arrangements to </w:t>
            </w:r>
            <w:r w:rsidRPr="00B459EC">
              <w:rPr>
                <w:rFonts w:ascii="Helvetica" w:hAnsi="Helvetica" w:cs="Helvetica"/>
                <w:sz w:val="20"/>
                <w:szCs w:val="20"/>
              </w:rPr>
              <w:lastRenderedPageBreak/>
              <w:t>maintain the continuity of its business in the event that the provision of services by a cloud computing service provider fails or deteriorates to an unacceptable degree, or experiences other changes or problems;</w:t>
            </w:r>
          </w:p>
        </w:tc>
        <w:tc>
          <w:tcPr>
            <w:tcW w:w="2790" w:type="dxa"/>
          </w:tcPr>
          <w:p w14:paraId="54372B71" w14:textId="16336F71"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2E571A75"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239E6DBE"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2AEF52AC" w14:textId="0FE4D95C" w:rsidTr="009D06EA">
        <w:tc>
          <w:tcPr>
            <w:tcW w:w="540" w:type="dxa"/>
          </w:tcPr>
          <w:p w14:paraId="4BFB8001" w14:textId="77777777" w:rsidR="00BE42B1" w:rsidRPr="00B459EC" w:rsidRDefault="00BE42B1" w:rsidP="00B459EC">
            <w:pPr>
              <w:spacing w:line="360" w:lineRule="auto"/>
              <w:rPr>
                <w:rFonts w:ascii="Helvetica" w:hAnsi="Helvetica" w:cs="Helvetica"/>
                <w:sz w:val="20"/>
                <w:szCs w:val="20"/>
              </w:rPr>
            </w:pPr>
          </w:p>
        </w:tc>
        <w:tc>
          <w:tcPr>
            <w:tcW w:w="2790" w:type="dxa"/>
          </w:tcPr>
          <w:p w14:paraId="11920C52" w14:textId="63799FFC"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include some form of contingency planning and the establishment of a clearly defined exit strategy, evaluated against the costs and benefits of such planning; and</w:t>
            </w:r>
          </w:p>
        </w:tc>
        <w:tc>
          <w:tcPr>
            <w:tcW w:w="2790" w:type="dxa"/>
          </w:tcPr>
          <w:p w14:paraId="52780834" w14:textId="3CC02C5D"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0EF73DA0"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59734EE6"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463070E3" w14:textId="37A6BB67" w:rsidTr="009D06EA">
        <w:tc>
          <w:tcPr>
            <w:tcW w:w="540" w:type="dxa"/>
          </w:tcPr>
          <w:p w14:paraId="354BDF77" w14:textId="77777777" w:rsidR="00BE42B1" w:rsidRPr="00B459EC" w:rsidRDefault="00BE42B1" w:rsidP="00B459EC">
            <w:pPr>
              <w:spacing w:line="360" w:lineRule="auto"/>
              <w:rPr>
                <w:rFonts w:ascii="Helvetica" w:hAnsi="Helvetica" w:cs="Helvetica"/>
                <w:sz w:val="20"/>
                <w:szCs w:val="20"/>
              </w:rPr>
            </w:pPr>
          </w:p>
        </w:tc>
        <w:tc>
          <w:tcPr>
            <w:tcW w:w="2790" w:type="dxa"/>
          </w:tcPr>
          <w:p w14:paraId="3A4362C2" w14:textId="0A6A9111" w:rsidR="00BE42B1" w:rsidRPr="00B459EC" w:rsidRDefault="00BE42B1" w:rsidP="00B459EC">
            <w:pPr>
              <w:pStyle w:val="ListParagraph"/>
              <w:numPr>
                <w:ilvl w:val="0"/>
                <w:numId w:val="35"/>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require the financial service provider to manage the risks associated with its cloud </w:t>
            </w:r>
            <w:r w:rsidRPr="00B459EC">
              <w:rPr>
                <w:rFonts w:ascii="Helvetica" w:hAnsi="Helvetica" w:cs="Helvetica"/>
                <w:sz w:val="20"/>
                <w:szCs w:val="20"/>
              </w:rPr>
              <w:lastRenderedPageBreak/>
              <w:t xml:space="preserve">computing arrangements. </w:t>
            </w:r>
          </w:p>
        </w:tc>
        <w:tc>
          <w:tcPr>
            <w:tcW w:w="2790" w:type="dxa"/>
          </w:tcPr>
          <w:p w14:paraId="581B341F" w14:textId="0D991254"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lastRenderedPageBreak/>
              <w:t>None</w:t>
            </w:r>
          </w:p>
        </w:tc>
        <w:tc>
          <w:tcPr>
            <w:tcW w:w="2430" w:type="dxa"/>
          </w:tcPr>
          <w:p w14:paraId="362F8DE4"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c>
          <w:tcPr>
            <w:tcW w:w="2136" w:type="dxa"/>
          </w:tcPr>
          <w:p w14:paraId="12701CD6" w14:textId="77777777" w:rsidR="00BE42B1" w:rsidRPr="00B459EC" w:rsidRDefault="00BE42B1" w:rsidP="00B459EC">
            <w:pPr>
              <w:pStyle w:val="ListParagraph"/>
              <w:spacing w:line="360" w:lineRule="auto"/>
              <w:ind w:left="1080"/>
              <w:contextualSpacing w:val="0"/>
              <w:jc w:val="both"/>
              <w:rPr>
                <w:rFonts w:ascii="Helvetica" w:hAnsi="Helvetica" w:cs="Helvetica"/>
                <w:sz w:val="20"/>
                <w:szCs w:val="20"/>
              </w:rPr>
            </w:pPr>
          </w:p>
        </w:tc>
      </w:tr>
      <w:tr w:rsidR="00BC21C4" w:rsidRPr="00B459EC" w14:paraId="5DDC82BE" w14:textId="720EFCFB" w:rsidTr="009D06EA">
        <w:tc>
          <w:tcPr>
            <w:tcW w:w="540" w:type="dxa"/>
          </w:tcPr>
          <w:p w14:paraId="3F58DA3D" w14:textId="77777777" w:rsidR="00BE42B1" w:rsidRPr="00B459EC" w:rsidRDefault="00BE42B1" w:rsidP="00B459EC">
            <w:pPr>
              <w:spacing w:line="360" w:lineRule="auto"/>
              <w:rPr>
                <w:rFonts w:ascii="Helvetica" w:hAnsi="Helvetica" w:cs="Helvetica"/>
                <w:sz w:val="20"/>
                <w:szCs w:val="20"/>
              </w:rPr>
            </w:pPr>
          </w:p>
        </w:tc>
        <w:tc>
          <w:tcPr>
            <w:tcW w:w="2790" w:type="dxa"/>
          </w:tcPr>
          <w:p w14:paraId="4B678816" w14:textId="3AC8AB1A" w:rsidR="00BE42B1" w:rsidRPr="00B459EC" w:rsidRDefault="00BE42B1"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A financial service provider shall submit the cloud computing policy to the Bank for clearance before its implementation. </w:t>
            </w:r>
          </w:p>
        </w:tc>
        <w:tc>
          <w:tcPr>
            <w:tcW w:w="2790" w:type="dxa"/>
          </w:tcPr>
          <w:p w14:paraId="1A6CD272" w14:textId="7F8BCCA9" w:rsidR="00BE42B1" w:rsidRPr="009D06EA" w:rsidRDefault="00EE2A80" w:rsidP="009D06EA">
            <w:pPr>
              <w:spacing w:line="360" w:lineRule="auto"/>
              <w:jc w:val="both"/>
              <w:rPr>
                <w:rFonts w:ascii="Helvetica" w:hAnsi="Helvetica" w:cs="Helvetica"/>
                <w:sz w:val="20"/>
                <w:szCs w:val="20"/>
              </w:rPr>
            </w:pPr>
            <w:r>
              <w:rPr>
                <w:rFonts w:ascii="Helvetica" w:hAnsi="Helvetica" w:cs="Helvetica"/>
                <w:sz w:val="20"/>
                <w:szCs w:val="20"/>
              </w:rPr>
              <w:t>None</w:t>
            </w:r>
          </w:p>
        </w:tc>
        <w:tc>
          <w:tcPr>
            <w:tcW w:w="2430" w:type="dxa"/>
          </w:tcPr>
          <w:p w14:paraId="4EEB5EAC"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c>
          <w:tcPr>
            <w:tcW w:w="2136" w:type="dxa"/>
          </w:tcPr>
          <w:p w14:paraId="440C0EB6" w14:textId="77777777" w:rsidR="00BE42B1" w:rsidRPr="00B459EC" w:rsidRDefault="00BE42B1" w:rsidP="00B459EC">
            <w:pPr>
              <w:pStyle w:val="ListParagraph"/>
              <w:spacing w:line="360" w:lineRule="auto"/>
              <w:ind w:left="360"/>
              <w:contextualSpacing w:val="0"/>
              <w:jc w:val="both"/>
              <w:rPr>
                <w:rFonts w:ascii="Helvetica" w:hAnsi="Helvetica" w:cs="Helvetica"/>
                <w:sz w:val="20"/>
                <w:szCs w:val="20"/>
              </w:rPr>
            </w:pPr>
          </w:p>
        </w:tc>
      </w:tr>
      <w:tr w:rsidR="00F642BB" w:rsidRPr="00B459EC" w14:paraId="2C2ED4ED" w14:textId="77777777" w:rsidTr="009D06EA">
        <w:tc>
          <w:tcPr>
            <w:tcW w:w="540" w:type="dxa"/>
          </w:tcPr>
          <w:p w14:paraId="3B4C03D5" w14:textId="77777777" w:rsidR="00F642BB" w:rsidRPr="00B459EC" w:rsidRDefault="00F642BB" w:rsidP="00B459EC">
            <w:pPr>
              <w:spacing w:line="360" w:lineRule="auto"/>
              <w:rPr>
                <w:rFonts w:ascii="Helvetica" w:hAnsi="Helvetica" w:cs="Helvetica"/>
                <w:sz w:val="20"/>
                <w:szCs w:val="20"/>
              </w:rPr>
            </w:pPr>
          </w:p>
        </w:tc>
        <w:tc>
          <w:tcPr>
            <w:tcW w:w="2790" w:type="dxa"/>
          </w:tcPr>
          <w:p w14:paraId="6E3BCCEE"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c>
          <w:tcPr>
            <w:tcW w:w="2790" w:type="dxa"/>
          </w:tcPr>
          <w:p w14:paraId="0731BC67"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c>
          <w:tcPr>
            <w:tcW w:w="2430" w:type="dxa"/>
          </w:tcPr>
          <w:p w14:paraId="27F85E87" w14:textId="078F2014" w:rsidR="00F642BB" w:rsidRPr="00B459EC" w:rsidRDefault="00F642BB" w:rsidP="00B459EC">
            <w:pPr>
              <w:pStyle w:val="Heading1"/>
              <w:spacing w:before="0" w:line="360" w:lineRule="auto"/>
              <w:outlineLvl w:val="0"/>
              <w:rPr>
                <w:rFonts w:ascii="Helvetica" w:hAnsi="Helvetica" w:cs="Helvetica"/>
                <w:color w:val="auto"/>
                <w:sz w:val="20"/>
                <w:szCs w:val="20"/>
              </w:rPr>
            </w:pPr>
            <w:r w:rsidRPr="00B459EC">
              <w:rPr>
                <w:rFonts w:ascii="Helvetica" w:hAnsi="Helvetica" w:cs="Helvetica"/>
                <w:color w:val="auto"/>
                <w:sz w:val="20"/>
                <w:szCs w:val="20"/>
              </w:rPr>
              <w:t xml:space="preserve">Added PART V </w:t>
            </w:r>
          </w:p>
          <w:p w14:paraId="7E4F2201" w14:textId="2B4D64D6" w:rsidR="00F642BB" w:rsidRPr="00B459EC" w:rsidRDefault="00F642BB" w:rsidP="00B459EC">
            <w:pPr>
              <w:pStyle w:val="Heading2"/>
              <w:spacing w:before="0" w:line="360" w:lineRule="auto"/>
              <w:outlineLvl w:val="1"/>
              <w:rPr>
                <w:rFonts w:ascii="Helvetica" w:hAnsi="Helvetica" w:cs="Helvetica"/>
                <w:color w:val="000000" w:themeColor="text1"/>
                <w:sz w:val="20"/>
                <w:szCs w:val="20"/>
              </w:rPr>
            </w:pPr>
            <w:r w:rsidRPr="00B459EC">
              <w:rPr>
                <w:rFonts w:ascii="Helvetica" w:hAnsi="Helvetica" w:cs="Helvetica"/>
                <w:color w:val="000000" w:themeColor="text1"/>
                <w:sz w:val="20"/>
                <w:szCs w:val="20"/>
              </w:rPr>
              <w:t>General Provision to cover sanctions and revocation of previous Guidelines issued in 2023.</w:t>
            </w:r>
          </w:p>
          <w:p w14:paraId="1A156B4D"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c>
          <w:tcPr>
            <w:tcW w:w="2136" w:type="dxa"/>
          </w:tcPr>
          <w:p w14:paraId="42C21F12"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r>
      <w:tr w:rsidR="00F642BB" w:rsidRPr="00B459EC" w14:paraId="3E59ECF8" w14:textId="77777777" w:rsidTr="009D06EA">
        <w:tc>
          <w:tcPr>
            <w:tcW w:w="540" w:type="dxa"/>
          </w:tcPr>
          <w:p w14:paraId="62DE57D9" w14:textId="77777777" w:rsidR="00F642BB" w:rsidRPr="00B459EC" w:rsidRDefault="00F642BB" w:rsidP="00B459EC">
            <w:pPr>
              <w:spacing w:line="360" w:lineRule="auto"/>
              <w:rPr>
                <w:rFonts w:ascii="Helvetica" w:hAnsi="Helvetica" w:cs="Helvetica"/>
                <w:sz w:val="20"/>
                <w:szCs w:val="20"/>
              </w:rPr>
            </w:pPr>
          </w:p>
        </w:tc>
        <w:tc>
          <w:tcPr>
            <w:tcW w:w="2790" w:type="dxa"/>
          </w:tcPr>
          <w:p w14:paraId="06DD1C38"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c>
          <w:tcPr>
            <w:tcW w:w="2790" w:type="dxa"/>
          </w:tcPr>
          <w:p w14:paraId="6B903189"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p>
        </w:tc>
        <w:tc>
          <w:tcPr>
            <w:tcW w:w="2430" w:type="dxa"/>
          </w:tcPr>
          <w:p w14:paraId="15C94085" w14:textId="1A4BD0F1"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Added Guideline 17 on Sanctions for Non Compliance with the Guidelines.</w:t>
            </w:r>
          </w:p>
        </w:tc>
        <w:tc>
          <w:tcPr>
            <w:tcW w:w="2136" w:type="dxa"/>
          </w:tcPr>
          <w:p w14:paraId="51A2ED79" w14:textId="77777777" w:rsidR="00F642BB" w:rsidRPr="00B459EC" w:rsidRDefault="00F642BB"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 xml:space="preserve">Without prejudice to the other penalties and actions prescribed by the Act, the Bank may impose one or more of the following sanctions where any of the provisions herein are contravened: - </w:t>
            </w:r>
          </w:p>
          <w:p w14:paraId="727D1B50"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(a)civil money penalty on the financial service provider or directors, officers </w:t>
            </w:r>
            <w:r w:rsidRPr="00B459EC">
              <w:rPr>
                <w:rFonts w:ascii="Helvetica" w:hAnsi="Helvetica" w:cs="Helvetica"/>
                <w:sz w:val="20"/>
                <w:szCs w:val="20"/>
              </w:rPr>
              <w:lastRenderedPageBreak/>
              <w:t xml:space="preserve">or employees responsible for non-compliance in such amounts as may be determined by the Bank; </w:t>
            </w:r>
          </w:p>
          <w:p w14:paraId="448DCA2B"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(b) prohibition from engaging in cloud computing arrangements; </w:t>
            </w:r>
          </w:p>
          <w:p w14:paraId="0E91A213"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(c) suspension of access to the credit facilities of the Bank; </w:t>
            </w:r>
          </w:p>
          <w:p w14:paraId="04036D33"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(d) suspension of lending and investment operations; </w:t>
            </w:r>
          </w:p>
          <w:p w14:paraId="1280FD25"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(e) suspension of capital expenditure; </w:t>
            </w:r>
          </w:p>
          <w:p w14:paraId="797C3015"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(f) suspension of the privilege to accept new deposits; </w:t>
            </w:r>
          </w:p>
          <w:p w14:paraId="2C4D85F3"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(g) suspension from office of the defaulting director, officer or employee; </w:t>
            </w:r>
          </w:p>
          <w:p w14:paraId="3518798B" w14:textId="77777777"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 xml:space="preserve">(h) disqualification from holding any </w:t>
            </w:r>
            <w:r w:rsidRPr="00B459EC">
              <w:rPr>
                <w:rFonts w:ascii="Helvetica" w:hAnsi="Helvetica" w:cs="Helvetica"/>
                <w:sz w:val="20"/>
                <w:szCs w:val="20"/>
              </w:rPr>
              <w:lastRenderedPageBreak/>
              <w:t xml:space="preserve">position or office in any financial service provider regulated and supervised by the Bank of Tanzania; and </w:t>
            </w:r>
          </w:p>
          <w:p w14:paraId="64BCE995" w14:textId="06FBA12A" w:rsidR="00F642BB" w:rsidRPr="00B459EC" w:rsidRDefault="00F642BB" w:rsidP="00B459EC">
            <w:pPr>
              <w:pStyle w:val="ListParagraph"/>
              <w:spacing w:line="360" w:lineRule="auto"/>
              <w:ind w:left="360"/>
              <w:contextualSpacing w:val="0"/>
              <w:jc w:val="both"/>
              <w:rPr>
                <w:rFonts w:ascii="Helvetica" w:hAnsi="Helvetica" w:cs="Helvetica"/>
                <w:sz w:val="20"/>
                <w:szCs w:val="20"/>
              </w:rPr>
            </w:pPr>
            <w:r w:rsidRPr="00B459EC">
              <w:rPr>
                <w:rFonts w:ascii="Helvetica" w:hAnsi="Helvetica" w:cs="Helvetica"/>
                <w:sz w:val="20"/>
                <w:szCs w:val="20"/>
              </w:rPr>
              <w:t>(i) revocation of license issued by the Bank.</w:t>
            </w:r>
          </w:p>
        </w:tc>
      </w:tr>
      <w:tr w:rsidR="0009173F" w:rsidRPr="00B459EC" w14:paraId="07DB3466" w14:textId="77777777" w:rsidTr="009D06EA">
        <w:tc>
          <w:tcPr>
            <w:tcW w:w="540" w:type="dxa"/>
          </w:tcPr>
          <w:p w14:paraId="746D974E" w14:textId="77777777" w:rsidR="0009173F" w:rsidRPr="00B459EC" w:rsidRDefault="0009173F" w:rsidP="00B459EC">
            <w:pPr>
              <w:spacing w:line="360" w:lineRule="auto"/>
              <w:rPr>
                <w:rFonts w:ascii="Helvetica" w:hAnsi="Helvetica" w:cs="Helvetica"/>
                <w:sz w:val="20"/>
                <w:szCs w:val="20"/>
              </w:rPr>
            </w:pPr>
          </w:p>
        </w:tc>
        <w:tc>
          <w:tcPr>
            <w:tcW w:w="2790" w:type="dxa"/>
          </w:tcPr>
          <w:p w14:paraId="2B5291C2" w14:textId="77777777" w:rsidR="0009173F" w:rsidRPr="00B459EC" w:rsidRDefault="0009173F" w:rsidP="00B459EC">
            <w:pPr>
              <w:spacing w:line="360" w:lineRule="auto"/>
              <w:jc w:val="both"/>
              <w:rPr>
                <w:rFonts w:ascii="Helvetica" w:hAnsi="Helvetica" w:cs="Helvetica"/>
                <w:sz w:val="20"/>
                <w:szCs w:val="20"/>
              </w:rPr>
            </w:pPr>
          </w:p>
        </w:tc>
        <w:tc>
          <w:tcPr>
            <w:tcW w:w="2790" w:type="dxa"/>
          </w:tcPr>
          <w:p w14:paraId="19AE9439" w14:textId="77777777" w:rsidR="0009173F" w:rsidRPr="00B459EC" w:rsidRDefault="0009173F" w:rsidP="00B459EC">
            <w:pPr>
              <w:pStyle w:val="ListParagraph"/>
              <w:spacing w:line="360" w:lineRule="auto"/>
              <w:ind w:left="360"/>
              <w:contextualSpacing w:val="0"/>
              <w:jc w:val="both"/>
              <w:rPr>
                <w:rFonts w:ascii="Helvetica" w:hAnsi="Helvetica" w:cs="Helvetica"/>
                <w:sz w:val="20"/>
                <w:szCs w:val="20"/>
              </w:rPr>
            </w:pPr>
          </w:p>
        </w:tc>
        <w:tc>
          <w:tcPr>
            <w:tcW w:w="2430" w:type="dxa"/>
          </w:tcPr>
          <w:p w14:paraId="597912E4" w14:textId="2BC46EBC" w:rsidR="0009173F" w:rsidRPr="009D06EA" w:rsidRDefault="00F642BB" w:rsidP="009D06EA">
            <w:pPr>
              <w:spacing w:line="360" w:lineRule="auto"/>
              <w:jc w:val="both"/>
              <w:rPr>
                <w:rFonts w:ascii="Helvetica" w:hAnsi="Helvetica" w:cs="Helvetica"/>
                <w:sz w:val="20"/>
                <w:szCs w:val="20"/>
              </w:rPr>
            </w:pPr>
            <w:r w:rsidRPr="009D06EA">
              <w:rPr>
                <w:rFonts w:ascii="Helvetica" w:hAnsi="Helvetica" w:cs="Helvetica"/>
                <w:sz w:val="20"/>
                <w:szCs w:val="20"/>
              </w:rPr>
              <w:t>Added guideline 18</w:t>
            </w:r>
            <w:r w:rsidR="00CC029C" w:rsidRPr="009D06EA">
              <w:rPr>
                <w:rFonts w:ascii="Helvetica" w:hAnsi="Helvetica" w:cs="Helvetica"/>
                <w:sz w:val="20"/>
                <w:szCs w:val="20"/>
              </w:rPr>
              <w:t xml:space="preserve"> revoking the Guidelines issued in 2023. </w:t>
            </w:r>
          </w:p>
        </w:tc>
        <w:tc>
          <w:tcPr>
            <w:tcW w:w="2136" w:type="dxa"/>
          </w:tcPr>
          <w:p w14:paraId="14D699E9" w14:textId="1CAD7412" w:rsidR="0009173F" w:rsidRPr="00B459EC" w:rsidRDefault="0009173F" w:rsidP="00B459EC">
            <w:pPr>
              <w:pStyle w:val="ListParagraph"/>
              <w:numPr>
                <w:ilvl w:val="0"/>
                <w:numId w:val="37"/>
              </w:numPr>
              <w:spacing w:line="360" w:lineRule="auto"/>
              <w:contextualSpacing w:val="0"/>
              <w:jc w:val="both"/>
              <w:rPr>
                <w:rFonts w:ascii="Helvetica" w:hAnsi="Helvetica" w:cs="Helvetica"/>
                <w:sz w:val="20"/>
                <w:szCs w:val="20"/>
              </w:rPr>
            </w:pPr>
            <w:r w:rsidRPr="00B459EC">
              <w:rPr>
                <w:rFonts w:ascii="Helvetica" w:hAnsi="Helvetica" w:cs="Helvetica"/>
                <w:sz w:val="20"/>
                <w:szCs w:val="20"/>
              </w:rPr>
              <w:t>Cloud Computing Guidelines for Financial Service Providers, 2023 are hereby dis-applied</w:t>
            </w:r>
          </w:p>
        </w:tc>
      </w:tr>
    </w:tbl>
    <w:p w14:paraId="1630CEAB" w14:textId="77777777" w:rsidR="00AD293B" w:rsidRPr="00AD293B" w:rsidRDefault="00AD293B" w:rsidP="00CB4953">
      <w:pPr>
        <w:spacing w:before="100" w:beforeAutospacing="1" w:after="100" w:afterAutospacing="1" w:line="480" w:lineRule="auto"/>
        <w:jc w:val="both"/>
        <w:rPr>
          <w:rFonts w:ascii="Helvetica" w:hAnsi="Helvetica" w:cs="Helvetica"/>
          <w:sz w:val="23"/>
          <w:szCs w:val="23"/>
        </w:rPr>
      </w:pPr>
      <w:bookmarkStart w:id="11" w:name="_GoBack"/>
      <w:bookmarkEnd w:id="11"/>
    </w:p>
    <w:sectPr w:rsidR="00AD293B" w:rsidRPr="00AD293B" w:rsidSect="009C6C0E">
      <w:pgSz w:w="12240" w:h="15840"/>
      <w:pgMar w:top="2268" w:right="1418" w:bottom="1418" w:left="2268"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15CA94" w16cex:dateUtc="2025-08-01T12:39:00Z"/>
  <w16cex:commentExtensible w16cex:durableId="2B125213" w16cex:dateUtc="2025-08-01T12:40:00Z"/>
  <w16cex:commentExtensible w16cex:durableId="721C02C8" w16cex:dateUtc="2025-08-0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D0CA05" w16cid:durableId="6C15CA94"/>
  <w16cid:commentId w16cid:paraId="0E5BF8C5" w16cid:durableId="2B125213"/>
  <w16cid:commentId w16cid:paraId="5D9BD68A" w16cid:durableId="721C02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4802" w14:textId="77777777" w:rsidR="00513137" w:rsidRDefault="00513137" w:rsidP="002D0AB7">
      <w:pPr>
        <w:spacing w:after="0" w:line="240" w:lineRule="auto"/>
      </w:pPr>
      <w:r>
        <w:separator/>
      </w:r>
    </w:p>
  </w:endnote>
  <w:endnote w:type="continuationSeparator" w:id="0">
    <w:p w14:paraId="1039193E" w14:textId="77777777" w:rsidR="00513137" w:rsidRDefault="00513137" w:rsidP="002D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979654"/>
      <w:docPartObj>
        <w:docPartGallery w:val="Page Numbers (Bottom of Page)"/>
        <w:docPartUnique/>
      </w:docPartObj>
    </w:sdtPr>
    <w:sdtEndPr>
      <w:rPr>
        <w:rFonts w:ascii="Times New Roman" w:hAnsi="Times New Roman" w:cs="Times New Roman"/>
        <w:noProof/>
        <w:sz w:val="24"/>
      </w:rPr>
    </w:sdtEndPr>
    <w:sdtContent>
      <w:p w14:paraId="485598E1" w14:textId="4A90DF03" w:rsidR="007B58D5" w:rsidRPr="006C028A" w:rsidRDefault="007B58D5" w:rsidP="006C028A">
        <w:pPr>
          <w:pStyle w:val="Footer"/>
          <w:jc w:val="right"/>
          <w:rPr>
            <w:rFonts w:ascii="Times New Roman" w:hAnsi="Times New Roman" w:cs="Times New Roman"/>
            <w:sz w:val="24"/>
          </w:rPr>
        </w:pPr>
        <w:r w:rsidRPr="006C028A">
          <w:rPr>
            <w:rFonts w:ascii="Times New Roman" w:hAnsi="Times New Roman" w:cs="Times New Roman"/>
            <w:sz w:val="24"/>
          </w:rPr>
          <w:fldChar w:fldCharType="begin"/>
        </w:r>
        <w:r w:rsidRPr="006C028A">
          <w:rPr>
            <w:rFonts w:ascii="Times New Roman" w:hAnsi="Times New Roman" w:cs="Times New Roman"/>
            <w:sz w:val="24"/>
          </w:rPr>
          <w:instrText xml:space="preserve"> PAGE   \* MERGEFORMAT </w:instrText>
        </w:r>
        <w:r w:rsidRPr="006C028A">
          <w:rPr>
            <w:rFonts w:ascii="Times New Roman" w:hAnsi="Times New Roman" w:cs="Times New Roman"/>
            <w:sz w:val="24"/>
          </w:rPr>
          <w:fldChar w:fldCharType="separate"/>
        </w:r>
        <w:r w:rsidR="009D06EA">
          <w:rPr>
            <w:rFonts w:ascii="Times New Roman" w:hAnsi="Times New Roman" w:cs="Times New Roman"/>
            <w:noProof/>
            <w:sz w:val="24"/>
          </w:rPr>
          <w:t>2</w:t>
        </w:r>
        <w:r w:rsidRPr="006C028A">
          <w:rPr>
            <w:rFonts w:ascii="Times New Roman" w:hAnsi="Times New Roman" w:cs="Times New Roman"/>
            <w:noProof/>
            <w:sz w:val="24"/>
          </w:rPr>
          <w:fldChar w:fldCharType="end"/>
        </w:r>
      </w:p>
    </w:sdtContent>
  </w:sdt>
  <w:p w14:paraId="16D6D74B" w14:textId="77777777" w:rsidR="007B58D5" w:rsidRDefault="007B5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C811" w14:textId="77777777" w:rsidR="007B58D5" w:rsidRPr="006C028A" w:rsidRDefault="007B58D5">
    <w:pPr>
      <w:pStyle w:val="Footer"/>
      <w:jc w:val="right"/>
      <w:rPr>
        <w:rFonts w:ascii="Times New Roman" w:hAnsi="Times New Roman" w:cs="Times New Roman"/>
      </w:rPr>
    </w:pPr>
  </w:p>
  <w:p w14:paraId="0664209A" w14:textId="77777777" w:rsidR="007B58D5" w:rsidRDefault="007B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C463" w14:textId="77777777" w:rsidR="00513137" w:rsidRDefault="00513137" w:rsidP="002D0AB7">
      <w:pPr>
        <w:spacing w:after="0" w:line="240" w:lineRule="auto"/>
      </w:pPr>
      <w:r>
        <w:separator/>
      </w:r>
    </w:p>
  </w:footnote>
  <w:footnote w:type="continuationSeparator" w:id="0">
    <w:p w14:paraId="0DDCA2E9" w14:textId="77777777" w:rsidR="00513137" w:rsidRDefault="00513137" w:rsidP="002D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D4202"/>
    <w:multiLevelType w:val="hybridMultilevel"/>
    <w:tmpl w:val="2D4B0B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D013D"/>
    <w:multiLevelType w:val="multilevel"/>
    <w:tmpl w:val="23CE007E"/>
    <w:lvl w:ilvl="0">
      <w:start w:val="4"/>
      <w:numFmt w:val="decimal"/>
      <w:lvlText w:val="%1.1"/>
      <w:lvlJc w:val="left"/>
      <w:pPr>
        <w:ind w:left="360" w:hanging="360"/>
      </w:pPr>
      <w:rPr>
        <w:rFonts w:hint="default"/>
        <w:sz w:val="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E271D9"/>
    <w:multiLevelType w:val="hybridMultilevel"/>
    <w:tmpl w:val="DBB0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3F"/>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311A77"/>
    <w:multiLevelType w:val="hybridMultilevel"/>
    <w:tmpl w:val="E950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0E0E5F"/>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AC5191"/>
    <w:multiLevelType w:val="hybridMultilevel"/>
    <w:tmpl w:val="D4960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65EB7"/>
    <w:multiLevelType w:val="hybridMultilevel"/>
    <w:tmpl w:val="DFDC7B20"/>
    <w:lvl w:ilvl="0" w:tplc="EEAE3C7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F184D"/>
    <w:multiLevelType w:val="hybridMultilevel"/>
    <w:tmpl w:val="F8B26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E0B37"/>
    <w:multiLevelType w:val="multilevel"/>
    <w:tmpl w:val="FD601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617E61"/>
    <w:multiLevelType w:val="hybridMultilevel"/>
    <w:tmpl w:val="35382DC0"/>
    <w:lvl w:ilvl="0" w:tplc="DDFC94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93260"/>
    <w:multiLevelType w:val="multilevel"/>
    <w:tmpl w:val="90B873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8E6DF7"/>
    <w:multiLevelType w:val="hybridMultilevel"/>
    <w:tmpl w:val="5EB23C14"/>
    <w:lvl w:ilvl="0" w:tplc="4726E9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B2"/>
    <w:multiLevelType w:val="multilevel"/>
    <w:tmpl w:val="B25AB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66412"/>
    <w:multiLevelType w:val="multilevel"/>
    <w:tmpl w:val="90B873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AA301A"/>
    <w:multiLevelType w:val="multilevel"/>
    <w:tmpl w:val="6B1C9812"/>
    <w:lvl w:ilvl="0">
      <w:start w:val="2"/>
      <w:numFmt w:val="decimal"/>
      <w:lvlText w:val="%1"/>
      <w:lvlJc w:val="left"/>
      <w:pPr>
        <w:ind w:left="360" w:hanging="360"/>
      </w:pPr>
      <w:rPr>
        <w:rFonts w:hint="default"/>
        <w:color w:val="FFFFFF" w:themeColor="background1"/>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4813EC"/>
    <w:multiLevelType w:val="hybridMultilevel"/>
    <w:tmpl w:val="03A08E06"/>
    <w:lvl w:ilvl="0" w:tplc="EEAE3C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55B34"/>
    <w:multiLevelType w:val="hybridMultilevel"/>
    <w:tmpl w:val="E6CCAE98"/>
    <w:lvl w:ilvl="0" w:tplc="A40CD1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EE2AD6"/>
    <w:multiLevelType w:val="hybridMultilevel"/>
    <w:tmpl w:val="115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6BDD"/>
    <w:multiLevelType w:val="multilevel"/>
    <w:tmpl w:val="6B1C9812"/>
    <w:lvl w:ilvl="0">
      <w:start w:val="2"/>
      <w:numFmt w:val="decimal"/>
      <w:lvlText w:val="%1"/>
      <w:lvlJc w:val="left"/>
      <w:pPr>
        <w:ind w:left="360" w:hanging="360"/>
      </w:pPr>
      <w:rPr>
        <w:rFonts w:hint="default"/>
        <w:color w:val="FFFFFF" w:themeColor="background1"/>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607C0"/>
    <w:multiLevelType w:val="hybridMultilevel"/>
    <w:tmpl w:val="DE1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B39F1"/>
    <w:multiLevelType w:val="hybridMultilevel"/>
    <w:tmpl w:val="2554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B7BE7"/>
    <w:multiLevelType w:val="hybridMultilevel"/>
    <w:tmpl w:val="237CA1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0D2ADC"/>
    <w:multiLevelType w:val="hybridMultilevel"/>
    <w:tmpl w:val="E9224E16"/>
    <w:lvl w:ilvl="0" w:tplc="867A99B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6E0235C"/>
    <w:multiLevelType w:val="multilevel"/>
    <w:tmpl w:val="7EF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65B7E"/>
    <w:multiLevelType w:val="hybridMultilevel"/>
    <w:tmpl w:val="70029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C412B"/>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DED115E"/>
    <w:multiLevelType w:val="multilevel"/>
    <w:tmpl w:val="D1B6BF98"/>
    <w:lvl w:ilvl="0">
      <w:start w:val="5"/>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5675B57"/>
    <w:multiLevelType w:val="multilevel"/>
    <w:tmpl w:val="EC843C0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59C62C6"/>
    <w:multiLevelType w:val="multilevel"/>
    <w:tmpl w:val="1F88060E"/>
    <w:lvl w:ilvl="0">
      <w:start w:val="1"/>
      <w:numFmt w:val="decimal"/>
      <w:lvlText w:val="%1."/>
      <w:lvlJc w:val="left"/>
      <w:pPr>
        <w:ind w:left="720" w:hanging="720"/>
      </w:pPr>
      <w:rPr>
        <w:rFonts w:cs="Times New Roman" w:hint="default"/>
        <w:b w:val="0"/>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30" w15:restartNumberingAfterBreak="0">
    <w:nsid w:val="6E0A3972"/>
    <w:multiLevelType w:val="hybridMultilevel"/>
    <w:tmpl w:val="8FD69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E395B"/>
    <w:multiLevelType w:val="hybridMultilevel"/>
    <w:tmpl w:val="2BD28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D03BD0"/>
    <w:multiLevelType w:val="hybridMultilevel"/>
    <w:tmpl w:val="8FD69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5671F"/>
    <w:multiLevelType w:val="multilevel"/>
    <w:tmpl w:val="E6E2F29C"/>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5C4407B"/>
    <w:multiLevelType w:val="hybridMultilevel"/>
    <w:tmpl w:val="C996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85A71"/>
    <w:multiLevelType w:val="multilevel"/>
    <w:tmpl w:val="3266E300"/>
    <w:lvl w:ilvl="0">
      <w:start w:val="4"/>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766511A"/>
    <w:multiLevelType w:val="hybridMultilevel"/>
    <w:tmpl w:val="2432E1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41D98E"/>
    <w:multiLevelType w:val="hybridMultilevel"/>
    <w:tmpl w:val="5D975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A0144AC"/>
    <w:multiLevelType w:val="hybridMultilevel"/>
    <w:tmpl w:val="96E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D3F0A"/>
    <w:multiLevelType w:val="hybridMultilevel"/>
    <w:tmpl w:val="16A61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D84796"/>
    <w:multiLevelType w:val="hybridMultilevel"/>
    <w:tmpl w:val="02C49292"/>
    <w:lvl w:ilvl="0" w:tplc="EEAE3C7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447D97"/>
    <w:multiLevelType w:val="hybridMultilevel"/>
    <w:tmpl w:val="7B20E7C2"/>
    <w:lvl w:ilvl="0" w:tplc="E9EA588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33"/>
  </w:num>
  <w:num w:numId="4">
    <w:abstractNumId w:val="14"/>
  </w:num>
  <w:num w:numId="5">
    <w:abstractNumId w:val="19"/>
  </w:num>
  <w:num w:numId="6">
    <w:abstractNumId w:val="23"/>
  </w:num>
  <w:num w:numId="7">
    <w:abstractNumId w:val="26"/>
  </w:num>
  <w:num w:numId="8">
    <w:abstractNumId w:val="29"/>
  </w:num>
  <w:num w:numId="9">
    <w:abstractNumId w:val="24"/>
  </w:num>
  <w:num w:numId="10">
    <w:abstractNumId w:val="5"/>
  </w:num>
  <w:num w:numId="11">
    <w:abstractNumId w:val="3"/>
  </w:num>
  <w:num w:numId="12">
    <w:abstractNumId w:val="35"/>
  </w:num>
  <w:num w:numId="13">
    <w:abstractNumId w:val="13"/>
  </w:num>
  <w:num w:numId="14">
    <w:abstractNumId w:val="15"/>
  </w:num>
  <w:num w:numId="15">
    <w:abstractNumId w:val="9"/>
  </w:num>
  <w:num w:numId="16">
    <w:abstractNumId w:val="17"/>
  </w:num>
  <w:num w:numId="17">
    <w:abstractNumId w:val="27"/>
  </w:num>
  <w:num w:numId="18">
    <w:abstractNumId w:val="1"/>
  </w:num>
  <w:num w:numId="19">
    <w:abstractNumId w:val="10"/>
  </w:num>
  <w:num w:numId="20">
    <w:abstractNumId w:val="38"/>
  </w:num>
  <w:num w:numId="21">
    <w:abstractNumId w:val="2"/>
  </w:num>
  <w:num w:numId="22">
    <w:abstractNumId w:val="20"/>
  </w:num>
  <w:num w:numId="23">
    <w:abstractNumId w:val="34"/>
  </w:num>
  <w:num w:numId="24">
    <w:abstractNumId w:val="18"/>
  </w:num>
  <w:num w:numId="25">
    <w:abstractNumId w:val="25"/>
  </w:num>
  <w:num w:numId="26">
    <w:abstractNumId w:val="21"/>
  </w:num>
  <w:num w:numId="27">
    <w:abstractNumId w:val="8"/>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0"/>
  </w:num>
  <w:num w:numId="33">
    <w:abstractNumId w:val="37"/>
  </w:num>
  <w:num w:numId="34">
    <w:abstractNumId w:val="30"/>
  </w:num>
  <w:num w:numId="35">
    <w:abstractNumId w:val="36"/>
  </w:num>
  <w:num w:numId="36">
    <w:abstractNumId w:val="40"/>
  </w:num>
  <w:num w:numId="37">
    <w:abstractNumId w:val="31"/>
  </w:num>
  <w:num w:numId="38">
    <w:abstractNumId w:val="22"/>
  </w:num>
  <w:num w:numId="39">
    <w:abstractNumId w:val="16"/>
  </w:num>
  <w:num w:numId="40">
    <w:abstractNumId w:val="12"/>
  </w:num>
  <w:num w:numId="41">
    <w:abstractNumId w:val="39"/>
  </w:num>
  <w:num w:numId="42">
    <w:abstractNumId w:val="4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84"/>
    <w:rsid w:val="0000274B"/>
    <w:rsid w:val="000104D1"/>
    <w:rsid w:val="0001067E"/>
    <w:rsid w:val="000116CE"/>
    <w:rsid w:val="0001278A"/>
    <w:rsid w:val="0001379B"/>
    <w:rsid w:val="00014545"/>
    <w:rsid w:val="000151E0"/>
    <w:rsid w:val="000155D0"/>
    <w:rsid w:val="00015922"/>
    <w:rsid w:val="00015E72"/>
    <w:rsid w:val="00020986"/>
    <w:rsid w:val="00020C27"/>
    <w:rsid w:val="00023F9B"/>
    <w:rsid w:val="000240BE"/>
    <w:rsid w:val="00025119"/>
    <w:rsid w:val="00030AE7"/>
    <w:rsid w:val="00030CAD"/>
    <w:rsid w:val="0003333F"/>
    <w:rsid w:val="00034199"/>
    <w:rsid w:val="000362A5"/>
    <w:rsid w:val="00036C32"/>
    <w:rsid w:val="00037E91"/>
    <w:rsid w:val="00040FA6"/>
    <w:rsid w:val="0004119E"/>
    <w:rsid w:val="00042C35"/>
    <w:rsid w:val="00042FCE"/>
    <w:rsid w:val="000432FC"/>
    <w:rsid w:val="000471E9"/>
    <w:rsid w:val="000472E8"/>
    <w:rsid w:val="00052C70"/>
    <w:rsid w:val="000532FE"/>
    <w:rsid w:val="000540FA"/>
    <w:rsid w:val="00055D07"/>
    <w:rsid w:val="00057BB8"/>
    <w:rsid w:val="00060C28"/>
    <w:rsid w:val="00063075"/>
    <w:rsid w:val="00063C54"/>
    <w:rsid w:val="00063C5B"/>
    <w:rsid w:val="00067A82"/>
    <w:rsid w:val="00067E80"/>
    <w:rsid w:val="000704B8"/>
    <w:rsid w:val="00070E55"/>
    <w:rsid w:val="0007206E"/>
    <w:rsid w:val="000727F2"/>
    <w:rsid w:val="000731DC"/>
    <w:rsid w:val="000743FA"/>
    <w:rsid w:val="00075046"/>
    <w:rsid w:val="0007552C"/>
    <w:rsid w:val="00081CB2"/>
    <w:rsid w:val="00082106"/>
    <w:rsid w:val="000849B1"/>
    <w:rsid w:val="00086E7C"/>
    <w:rsid w:val="0009173F"/>
    <w:rsid w:val="00092D07"/>
    <w:rsid w:val="0009350E"/>
    <w:rsid w:val="000960FA"/>
    <w:rsid w:val="00096C5D"/>
    <w:rsid w:val="000972E8"/>
    <w:rsid w:val="000A140C"/>
    <w:rsid w:val="000A29F1"/>
    <w:rsid w:val="000A4519"/>
    <w:rsid w:val="000B07C9"/>
    <w:rsid w:val="000B178D"/>
    <w:rsid w:val="000B1C33"/>
    <w:rsid w:val="000B2599"/>
    <w:rsid w:val="000B4F94"/>
    <w:rsid w:val="000B53FA"/>
    <w:rsid w:val="000B6858"/>
    <w:rsid w:val="000B6DD4"/>
    <w:rsid w:val="000C0892"/>
    <w:rsid w:val="000C0977"/>
    <w:rsid w:val="000C3224"/>
    <w:rsid w:val="000C45FD"/>
    <w:rsid w:val="000C5A02"/>
    <w:rsid w:val="000C5FB9"/>
    <w:rsid w:val="000D1100"/>
    <w:rsid w:val="000D7523"/>
    <w:rsid w:val="000D76C6"/>
    <w:rsid w:val="000D7807"/>
    <w:rsid w:val="000E2279"/>
    <w:rsid w:val="000F013A"/>
    <w:rsid w:val="000F074A"/>
    <w:rsid w:val="000F0FEE"/>
    <w:rsid w:val="000F2682"/>
    <w:rsid w:val="000F28D3"/>
    <w:rsid w:val="000F2C9D"/>
    <w:rsid w:val="000F5893"/>
    <w:rsid w:val="000F69EA"/>
    <w:rsid w:val="000F78C3"/>
    <w:rsid w:val="000F7FD9"/>
    <w:rsid w:val="00101563"/>
    <w:rsid w:val="00102783"/>
    <w:rsid w:val="00102D45"/>
    <w:rsid w:val="00103638"/>
    <w:rsid w:val="00104252"/>
    <w:rsid w:val="001055AC"/>
    <w:rsid w:val="00107A06"/>
    <w:rsid w:val="00111EA3"/>
    <w:rsid w:val="00111FEC"/>
    <w:rsid w:val="0011475E"/>
    <w:rsid w:val="00115024"/>
    <w:rsid w:val="001163EE"/>
    <w:rsid w:val="001168D6"/>
    <w:rsid w:val="00120186"/>
    <w:rsid w:val="00121CA4"/>
    <w:rsid w:val="001229B2"/>
    <w:rsid w:val="00122E44"/>
    <w:rsid w:val="00123F38"/>
    <w:rsid w:val="001254E6"/>
    <w:rsid w:val="0012688F"/>
    <w:rsid w:val="00131563"/>
    <w:rsid w:val="00131591"/>
    <w:rsid w:val="001378CD"/>
    <w:rsid w:val="00137A1D"/>
    <w:rsid w:val="00140760"/>
    <w:rsid w:val="00142E2D"/>
    <w:rsid w:val="001437B2"/>
    <w:rsid w:val="001440E7"/>
    <w:rsid w:val="0014436C"/>
    <w:rsid w:val="00146DC8"/>
    <w:rsid w:val="0015103C"/>
    <w:rsid w:val="00151432"/>
    <w:rsid w:val="00155832"/>
    <w:rsid w:val="00157518"/>
    <w:rsid w:val="0016173D"/>
    <w:rsid w:val="00163B6D"/>
    <w:rsid w:val="0016571D"/>
    <w:rsid w:val="00165C8E"/>
    <w:rsid w:val="00166126"/>
    <w:rsid w:val="001677A8"/>
    <w:rsid w:val="00171066"/>
    <w:rsid w:val="00172B40"/>
    <w:rsid w:val="00173E38"/>
    <w:rsid w:val="00176E7A"/>
    <w:rsid w:val="00176F08"/>
    <w:rsid w:val="00177AA0"/>
    <w:rsid w:val="001812C1"/>
    <w:rsid w:val="00181AE7"/>
    <w:rsid w:val="00184A10"/>
    <w:rsid w:val="001851FC"/>
    <w:rsid w:val="0018521A"/>
    <w:rsid w:val="00185867"/>
    <w:rsid w:val="001859B9"/>
    <w:rsid w:val="00191041"/>
    <w:rsid w:val="00192946"/>
    <w:rsid w:val="00192FA5"/>
    <w:rsid w:val="0019751A"/>
    <w:rsid w:val="00197E58"/>
    <w:rsid w:val="001A19FD"/>
    <w:rsid w:val="001A1A61"/>
    <w:rsid w:val="001A1DE1"/>
    <w:rsid w:val="001A48FA"/>
    <w:rsid w:val="001A51F2"/>
    <w:rsid w:val="001A5277"/>
    <w:rsid w:val="001A5D04"/>
    <w:rsid w:val="001A68D3"/>
    <w:rsid w:val="001A6B9F"/>
    <w:rsid w:val="001A7796"/>
    <w:rsid w:val="001B5B4E"/>
    <w:rsid w:val="001B6611"/>
    <w:rsid w:val="001B6A85"/>
    <w:rsid w:val="001B72CC"/>
    <w:rsid w:val="001C16FE"/>
    <w:rsid w:val="001C1745"/>
    <w:rsid w:val="001C6918"/>
    <w:rsid w:val="001C7F70"/>
    <w:rsid w:val="001D1075"/>
    <w:rsid w:val="001D4409"/>
    <w:rsid w:val="001D58FE"/>
    <w:rsid w:val="001D5957"/>
    <w:rsid w:val="001D7DE9"/>
    <w:rsid w:val="001E1288"/>
    <w:rsid w:val="001E1CF0"/>
    <w:rsid w:val="001E4C1C"/>
    <w:rsid w:val="001E635A"/>
    <w:rsid w:val="001E70FE"/>
    <w:rsid w:val="001F0E79"/>
    <w:rsid w:val="001F2285"/>
    <w:rsid w:val="001F6FC2"/>
    <w:rsid w:val="002002EF"/>
    <w:rsid w:val="002002F7"/>
    <w:rsid w:val="00201AF4"/>
    <w:rsid w:val="002031D7"/>
    <w:rsid w:val="00204A60"/>
    <w:rsid w:val="00206A60"/>
    <w:rsid w:val="00212588"/>
    <w:rsid w:val="00213DC1"/>
    <w:rsid w:val="0021484B"/>
    <w:rsid w:val="0021591F"/>
    <w:rsid w:val="00216DE3"/>
    <w:rsid w:val="00223FCA"/>
    <w:rsid w:val="00224EB7"/>
    <w:rsid w:val="0023012D"/>
    <w:rsid w:val="002303AB"/>
    <w:rsid w:val="002304E2"/>
    <w:rsid w:val="0023532D"/>
    <w:rsid w:val="00236CB6"/>
    <w:rsid w:val="00241CD6"/>
    <w:rsid w:val="00241FC4"/>
    <w:rsid w:val="002446A6"/>
    <w:rsid w:val="002447CF"/>
    <w:rsid w:val="00245EA7"/>
    <w:rsid w:val="00250C1E"/>
    <w:rsid w:val="00251AC5"/>
    <w:rsid w:val="00252D68"/>
    <w:rsid w:val="0025303E"/>
    <w:rsid w:val="00253067"/>
    <w:rsid w:val="002568EF"/>
    <w:rsid w:val="00256AD7"/>
    <w:rsid w:val="00260BA2"/>
    <w:rsid w:val="00260E43"/>
    <w:rsid w:val="00261C90"/>
    <w:rsid w:val="002638E1"/>
    <w:rsid w:val="00263F6E"/>
    <w:rsid w:val="002642DF"/>
    <w:rsid w:val="0026440C"/>
    <w:rsid w:val="002705EE"/>
    <w:rsid w:val="00270EB9"/>
    <w:rsid w:val="00270F95"/>
    <w:rsid w:val="002712EB"/>
    <w:rsid w:val="00271D6C"/>
    <w:rsid w:val="00271ECF"/>
    <w:rsid w:val="00272133"/>
    <w:rsid w:val="0027221C"/>
    <w:rsid w:val="00272768"/>
    <w:rsid w:val="00272B42"/>
    <w:rsid w:val="0027403C"/>
    <w:rsid w:val="00276A57"/>
    <w:rsid w:val="002802E5"/>
    <w:rsid w:val="00280309"/>
    <w:rsid w:val="002833CE"/>
    <w:rsid w:val="0028501B"/>
    <w:rsid w:val="00286989"/>
    <w:rsid w:val="002877CA"/>
    <w:rsid w:val="00287D0A"/>
    <w:rsid w:val="002906F6"/>
    <w:rsid w:val="0029233D"/>
    <w:rsid w:val="00293814"/>
    <w:rsid w:val="002946C3"/>
    <w:rsid w:val="00295363"/>
    <w:rsid w:val="00297712"/>
    <w:rsid w:val="00297C24"/>
    <w:rsid w:val="002A25E8"/>
    <w:rsid w:val="002A414E"/>
    <w:rsid w:val="002B055C"/>
    <w:rsid w:val="002B0B5E"/>
    <w:rsid w:val="002B14B2"/>
    <w:rsid w:val="002B1933"/>
    <w:rsid w:val="002B1B46"/>
    <w:rsid w:val="002B4D07"/>
    <w:rsid w:val="002B5015"/>
    <w:rsid w:val="002C04D0"/>
    <w:rsid w:val="002C12E4"/>
    <w:rsid w:val="002C5EDD"/>
    <w:rsid w:val="002C624A"/>
    <w:rsid w:val="002C6AB2"/>
    <w:rsid w:val="002D0AB7"/>
    <w:rsid w:val="002D0F41"/>
    <w:rsid w:val="002D3C89"/>
    <w:rsid w:val="002D587E"/>
    <w:rsid w:val="002E0871"/>
    <w:rsid w:val="002E3404"/>
    <w:rsid w:val="002E4CB8"/>
    <w:rsid w:val="002E53D4"/>
    <w:rsid w:val="002E6990"/>
    <w:rsid w:val="002F0F8B"/>
    <w:rsid w:val="002F2BBF"/>
    <w:rsid w:val="002F2C6C"/>
    <w:rsid w:val="002F2D7A"/>
    <w:rsid w:val="002F3ECB"/>
    <w:rsid w:val="002F5FAE"/>
    <w:rsid w:val="002F6FF2"/>
    <w:rsid w:val="002F7581"/>
    <w:rsid w:val="0030243B"/>
    <w:rsid w:val="00304AFC"/>
    <w:rsid w:val="00306370"/>
    <w:rsid w:val="00306D38"/>
    <w:rsid w:val="00307579"/>
    <w:rsid w:val="00307FE5"/>
    <w:rsid w:val="0031027C"/>
    <w:rsid w:val="00312784"/>
    <w:rsid w:val="00312FBD"/>
    <w:rsid w:val="00313153"/>
    <w:rsid w:val="003157F0"/>
    <w:rsid w:val="00315B3D"/>
    <w:rsid w:val="00316186"/>
    <w:rsid w:val="00316C56"/>
    <w:rsid w:val="003178DF"/>
    <w:rsid w:val="00321413"/>
    <w:rsid w:val="00322986"/>
    <w:rsid w:val="00322B09"/>
    <w:rsid w:val="003242AA"/>
    <w:rsid w:val="0033143F"/>
    <w:rsid w:val="003318E5"/>
    <w:rsid w:val="00332091"/>
    <w:rsid w:val="00334341"/>
    <w:rsid w:val="00335084"/>
    <w:rsid w:val="00337BFC"/>
    <w:rsid w:val="00342FB6"/>
    <w:rsid w:val="00343BBE"/>
    <w:rsid w:val="0034512D"/>
    <w:rsid w:val="0035037A"/>
    <w:rsid w:val="0035130D"/>
    <w:rsid w:val="00351EE0"/>
    <w:rsid w:val="003531E0"/>
    <w:rsid w:val="003546A9"/>
    <w:rsid w:val="00356EB5"/>
    <w:rsid w:val="0036087C"/>
    <w:rsid w:val="00361F8E"/>
    <w:rsid w:val="003631C7"/>
    <w:rsid w:val="00364ED8"/>
    <w:rsid w:val="003652C2"/>
    <w:rsid w:val="003661DC"/>
    <w:rsid w:val="0036646B"/>
    <w:rsid w:val="00370AAF"/>
    <w:rsid w:val="0037215F"/>
    <w:rsid w:val="003736CA"/>
    <w:rsid w:val="003740F5"/>
    <w:rsid w:val="003753BF"/>
    <w:rsid w:val="00375632"/>
    <w:rsid w:val="00376823"/>
    <w:rsid w:val="00377FE6"/>
    <w:rsid w:val="00380857"/>
    <w:rsid w:val="00381CE2"/>
    <w:rsid w:val="0038297F"/>
    <w:rsid w:val="00382F9F"/>
    <w:rsid w:val="0038334D"/>
    <w:rsid w:val="00383C4F"/>
    <w:rsid w:val="003917CC"/>
    <w:rsid w:val="00394570"/>
    <w:rsid w:val="00395110"/>
    <w:rsid w:val="003963DA"/>
    <w:rsid w:val="00396A36"/>
    <w:rsid w:val="00397920"/>
    <w:rsid w:val="003A21D0"/>
    <w:rsid w:val="003A4209"/>
    <w:rsid w:val="003A43EA"/>
    <w:rsid w:val="003A4F01"/>
    <w:rsid w:val="003A5B61"/>
    <w:rsid w:val="003A6B3B"/>
    <w:rsid w:val="003A7D38"/>
    <w:rsid w:val="003B2B4A"/>
    <w:rsid w:val="003B57EA"/>
    <w:rsid w:val="003B6996"/>
    <w:rsid w:val="003B7578"/>
    <w:rsid w:val="003C0EA9"/>
    <w:rsid w:val="003C1FA8"/>
    <w:rsid w:val="003C3B92"/>
    <w:rsid w:val="003C4861"/>
    <w:rsid w:val="003C6EF7"/>
    <w:rsid w:val="003C7D0E"/>
    <w:rsid w:val="003C7FE4"/>
    <w:rsid w:val="003D1BC1"/>
    <w:rsid w:val="003D26FD"/>
    <w:rsid w:val="003D2D5D"/>
    <w:rsid w:val="003D2E78"/>
    <w:rsid w:val="003D5682"/>
    <w:rsid w:val="003D58C5"/>
    <w:rsid w:val="003D72FC"/>
    <w:rsid w:val="003E0E05"/>
    <w:rsid w:val="003E110B"/>
    <w:rsid w:val="003E27D9"/>
    <w:rsid w:val="003E2EB5"/>
    <w:rsid w:val="003E6CF0"/>
    <w:rsid w:val="003F1966"/>
    <w:rsid w:val="003F1BF9"/>
    <w:rsid w:val="003F3BB0"/>
    <w:rsid w:val="00400064"/>
    <w:rsid w:val="0040409E"/>
    <w:rsid w:val="00406FF0"/>
    <w:rsid w:val="00410337"/>
    <w:rsid w:val="00413387"/>
    <w:rsid w:val="00414416"/>
    <w:rsid w:val="004145AF"/>
    <w:rsid w:val="00415D44"/>
    <w:rsid w:val="00416D28"/>
    <w:rsid w:val="00417E9D"/>
    <w:rsid w:val="0042189F"/>
    <w:rsid w:val="00421B30"/>
    <w:rsid w:val="00423D66"/>
    <w:rsid w:val="004241C5"/>
    <w:rsid w:val="004247D2"/>
    <w:rsid w:val="00430928"/>
    <w:rsid w:val="004321B2"/>
    <w:rsid w:val="0043634B"/>
    <w:rsid w:val="00436FC9"/>
    <w:rsid w:val="0043763A"/>
    <w:rsid w:val="00440C8A"/>
    <w:rsid w:val="004425DB"/>
    <w:rsid w:val="004426F0"/>
    <w:rsid w:val="00442724"/>
    <w:rsid w:val="00444F19"/>
    <w:rsid w:val="00450F14"/>
    <w:rsid w:val="00452AFC"/>
    <w:rsid w:val="0045358B"/>
    <w:rsid w:val="00453DD7"/>
    <w:rsid w:val="004555F4"/>
    <w:rsid w:val="004561FA"/>
    <w:rsid w:val="00456FC0"/>
    <w:rsid w:val="00461979"/>
    <w:rsid w:val="0046313B"/>
    <w:rsid w:val="004671AF"/>
    <w:rsid w:val="00467D13"/>
    <w:rsid w:val="00472906"/>
    <w:rsid w:val="00473B6B"/>
    <w:rsid w:val="00473FCF"/>
    <w:rsid w:val="00474431"/>
    <w:rsid w:val="00474838"/>
    <w:rsid w:val="00475DF0"/>
    <w:rsid w:val="0048019C"/>
    <w:rsid w:val="00480618"/>
    <w:rsid w:val="00480E06"/>
    <w:rsid w:val="00482897"/>
    <w:rsid w:val="00483A07"/>
    <w:rsid w:val="00484E49"/>
    <w:rsid w:val="00487D3D"/>
    <w:rsid w:val="00490738"/>
    <w:rsid w:val="00492FC3"/>
    <w:rsid w:val="004930A9"/>
    <w:rsid w:val="004937AE"/>
    <w:rsid w:val="004942C0"/>
    <w:rsid w:val="0049687A"/>
    <w:rsid w:val="004A1638"/>
    <w:rsid w:val="004A2946"/>
    <w:rsid w:val="004A374A"/>
    <w:rsid w:val="004A3CC7"/>
    <w:rsid w:val="004A4C11"/>
    <w:rsid w:val="004A7BBF"/>
    <w:rsid w:val="004B01E2"/>
    <w:rsid w:val="004B35A7"/>
    <w:rsid w:val="004B47F3"/>
    <w:rsid w:val="004B5310"/>
    <w:rsid w:val="004B578B"/>
    <w:rsid w:val="004B6685"/>
    <w:rsid w:val="004B791F"/>
    <w:rsid w:val="004C2D82"/>
    <w:rsid w:val="004C48BD"/>
    <w:rsid w:val="004C5076"/>
    <w:rsid w:val="004C6184"/>
    <w:rsid w:val="004C6BB1"/>
    <w:rsid w:val="004D2B37"/>
    <w:rsid w:val="004D2E75"/>
    <w:rsid w:val="004D4536"/>
    <w:rsid w:val="004D4D00"/>
    <w:rsid w:val="004D5C51"/>
    <w:rsid w:val="004D6020"/>
    <w:rsid w:val="004E318D"/>
    <w:rsid w:val="004E4AD6"/>
    <w:rsid w:val="004E5C85"/>
    <w:rsid w:val="004E694F"/>
    <w:rsid w:val="004E6C2A"/>
    <w:rsid w:val="004E7AD9"/>
    <w:rsid w:val="004F10DC"/>
    <w:rsid w:val="004F10F2"/>
    <w:rsid w:val="004F1D8D"/>
    <w:rsid w:val="004F1F14"/>
    <w:rsid w:val="004F30A0"/>
    <w:rsid w:val="004F652C"/>
    <w:rsid w:val="005000C6"/>
    <w:rsid w:val="005022AA"/>
    <w:rsid w:val="00503A3E"/>
    <w:rsid w:val="00503AE6"/>
    <w:rsid w:val="00506825"/>
    <w:rsid w:val="0051059D"/>
    <w:rsid w:val="00511185"/>
    <w:rsid w:val="005118D6"/>
    <w:rsid w:val="00513137"/>
    <w:rsid w:val="00514331"/>
    <w:rsid w:val="00514F3C"/>
    <w:rsid w:val="00517474"/>
    <w:rsid w:val="00520178"/>
    <w:rsid w:val="00520310"/>
    <w:rsid w:val="005220E6"/>
    <w:rsid w:val="00523105"/>
    <w:rsid w:val="00525C61"/>
    <w:rsid w:val="00525E96"/>
    <w:rsid w:val="00526149"/>
    <w:rsid w:val="005268E3"/>
    <w:rsid w:val="00530190"/>
    <w:rsid w:val="00530A12"/>
    <w:rsid w:val="00532C49"/>
    <w:rsid w:val="00532FB2"/>
    <w:rsid w:val="00534E01"/>
    <w:rsid w:val="00536B14"/>
    <w:rsid w:val="00537ACA"/>
    <w:rsid w:val="00542DB2"/>
    <w:rsid w:val="00544959"/>
    <w:rsid w:val="00544CF1"/>
    <w:rsid w:val="00545422"/>
    <w:rsid w:val="0054754B"/>
    <w:rsid w:val="00556317"/>
    <w:rsid w:val="00560671"/>
    <w:rsid w:val="0056068E"/>
    <w:rsid w:val="005607B8"/>
    <w:rsid w:val="00560C41"/>
    <w:rsid w:val="00561F82"/>
    <w:rsid w:val="00562F60"/>
    <w:rsid w:val="0056346A"/>
    <w:rsid w:val="00563826"/>
    <w:rsid w:val="0056566E"/>
    <w:rsid w:val="00565930"/>
    <w:rsid w:val="00566217"/>
    <w:rsid w:val="00566AE8"/>
    <w:rsid w:val="00572095"/>
    <w:rsid w:val="005736F0"/>
    <w:rsid w:val="0057392E"/>
    <w:rsid w:val="00573D92"/>
    <w:rsid w:val="00573F80"/>
    <w:rsid w:val="0057526F"/>
    <w:rsid w:val="0058272C"/>
    <w:rsid w:val="005830CD"/>
    <w:rsid w:val="00583A0E"/>
    <w:rsid w:val="00583D3B"/>
    <w:rsid w:val="00585699"/>
    <w:rsid w:val="00585CD6"/>
    <w:rsid w:val="00586612"/>
    <w:rsid w:val="0058690E"/>
    <w:rsid w:val="00590208"/>
    <w:rsid w:val="0059226E"/>
    <w:rsid w:val="00593352"/>
    <w:rsid w:val="005940E8"/>
    <w:rsid w:val="005A1C0D"/>
    <w:rsid w:val="005A743B"/>
    <w:rsid w:val="005A7A9A"/>
    <w:rsid w:val="005B03D1"/>
    <w:rsid w:val="005B2054"/>
    <w:rsid w:val="005B35BB"/>
    <w:rsid w:val="005B3E15"/>
    <w:rsid w:val="005B4C28"/>
    <w:rsid w:val="005B4CE7"/>
    <w:rsid w:val="005B523F"/>
    <w:rsid w:val="005C255E"/>
    <w:rsid w:val="005C2BCA"/>
    <w:rsid w:val="005C4AD4"/>
    <w:rsid w:val="005C6E03"/>
    <w:rsid w:val="005C7338"/>
    <w:rsid w:val="005D059C"/>
    <w:rsid w:val="005D1082"/>
    <w:rsid w:val="005D17C7"/>
    <w:rsid w:val="005D345B"/>
    <w:rsid w:val="005D4E2B"/>
    <w:rsid w:val="005D5BA5"/>
    <w:rsid w:val="005E2B3A"/>
    <w:rsid w:val="005E373D"/>
    <w:rsid w:val="005E3A83"/>
    <w:rsid w:val="005E3DBB"/>
    <w:rsid w:val="005E60D5"/>
    <w:rsid w:val="005E6B55"/>
    <w:rsid w:val="005E7305"/>
    <w:rsid w:val="005F3F24"/>
    <w:rsid w:val="005F46E4"/>
    <w:rsid w:val="005F639F"/>
    <w:rsid w:val="005F6E0B"/>
    <w:rsid w:val="005F7A3D"/>
    <w:rsid w:val="00605009"/>
    <w:rsid w:val="00607A29"/>
    <w:rsid w:val="00610DCD"/>
    <w:rsid w:val="006131FD"/>
    <w:rsid w:val="00613652"/>
    <w:rsid w:val="00614F3C"/>
    <w:rsid w:val="006154B0"/>
    <w:rsid w:val="00615F33"/>
    <w:rsid w:val="00617BA6"/>
    <w:rsid w:val="0062193A"/>
    <w:rsid w:val="00621DB9"/>
    <w:rsid w:val="00622652"/>
    <w:rsid w:val="00622FD5"/>
    <w:rsid w:val="00623C16"/>
    <w:rsid w:val="00624022"/>
    <w:rsid w:val="006265CA"/>
    <w:rsid w:val="00626647"/>
    <w:rsid w:val="0062683F"/>
    <w:rsid w:val="00626D35"/>
    <w:rsid w:val="006278E9"/>
    <w:rsid w:val="0063092F"/>
    <w:rsid w:val="00630C21"/>
    <w:rsid w:val="00631653"/>
    <w:rsid w:val="00632A40"/>
    <w:rsid w:val="006342FD"/>
    <w:rsid w:val="00634896"/>
    <w:rsid w:val="00635026"/>
    <w:rsid w:val="00635DA0"/>
    <w:rsid w:val="00636605"/>
    <w:rsid w:val="00641DA9"/>
    <w:rsid w:val="0064380D"/>
    <w:rsid w:val="006467C3"/>
    <w:rsid w:val="0065414A"/>
    <w:rsid w:val="0065563B"/>
    <w:rsid w:val="00655AC3"/>
    <w:rsid w:val="006568B4"/>
    <w:rsid w:val="00660DA9"/>
    <w:rsid w:val="006611FF"/>
    <w:rsid w:val="00661428"/>
    <w:rsid w:val="00661567"/>
    <w:rsid w:val="00663465"/>
    <w:rsid w:val="0066377C"/>
    <w:rsid w:val="006669F8"/>
    <w:rsid w:val="00670F77"/>
    <w:rsid w:val="00673726"/>
    <w:rsid w:val="00673FEE"/>
    <w:rsid w:val="00674174"/>
    <w:rsid w:val="006766E1"/>
    <w:rsid w:val="0067734F"/>
    <w:rsid w:val="00677DF5"/>
    <w:rsid w:val="00681CEF"/>
    <w:rsid w:val="00681F6A"/>
    <w:rsid w:val="00683B1C"/>
    <w:rsid w:val="00684037"/>
    <w:rsid w:val="0068477F"/>
    <w:rsid w:val="006848EB"/>
    <w:rsid w:val="0068524B"/>
    <w:rsid w:val="00690C4E"/>
    <w:rsid w:val="00691CFB"/>
    <w:rsid w:val="00694E99"/>
    <w:rsid w:val="00695FCD"/>
    <w:rsid w:val="00696B95"/>
    <w:rsid w:val="006A087A"/>
    <w:rsid w:val="006A332D"/>
    <w:rsid w:val="006A4CC9"/>
    <w:rsid w:val="006A4CFF"/>
    <w:rsid w:val="006A5055"/>
    <w:rsid w:val="006A5E5A"/>
    <w:rsid w:val="006A6499"/>
    <w:rsid w:val="006A6A01"/>
    <w:rsid w:val="006A6FAB"/>
    <w:rsid w:val="006A7820"/>
    <w:rsid w:val="006B08A9"/>
    <w:rsid w:val="006B20D9"/>
    <w:rsid w:val="006B2520"/>
    <w:rsid w:val="006B5C0A"/>
    <w:rsid w:val="006B5E30"/>
    <w:rsid w:val="006B7915"/>
    <w:rsid w:val="006C028A"/>
    <w:rsid w:val="006C0680"/>
    <w:rsid w:val="006C50B6"/>
    <w:rsid w:val="006C6155"/>
    <w:rsid w:val="006C637E"/>
    <w:rsid w:val="006C7587"/>
    <w:rsid w:val="006D0ACB"/>
    <w:rsid w:val="006D0D7B"/>
    <w:rsid w:val="006D2300"/>
    <w:rsid w:val="006D2660"/>
    <w:rsid w:val="006D37F0"/>
    <w:rsid w:val="006D4FBE"/>
    <w:rsid w:val="006D5E25"/>
    <w:rsid w:val="006E06AD"/>
    <w:rsid w:val="006E0890"/>
    <w:rsid w:val="006E1889"/>
    <w:rsid w:val="006E3BB2"/>
    <w:rsid w:val="006E5643"/>
    <w:rsid w:val="006E57AF"/>
    <w:rsid w:val="006E6473"/>
    <w:rsid w:val="006E748C"/>
    <w:rsid w:val="006F0F4E"/>
    <w:rsid w:val="006F21F9"/>
    <w:rsid w:val="006F4AD8"/>
    <w:rsid w:val="006F6055"/>
    <w:rsid w:val="006F7E9F"/>
    <w:rsid w:val="00701302"/>
    <w:rsid w:val="00701727"/>
    <w:rsid w:val="00703243"/>
    <w:rsid w:val="00703B5F"/>
    <w:rsid w:val="00704424"/>
    <w:rsid w:val="00707C28"/>
    <w:rsid w:val="00710177"/>
    <w:rsid w:val="00713185"/>
    <w:rsid w:val="00714D53"/>
    <w:rsid w:val="00715A70"/>
    <w:rsid w:val="007160DB"/>
    <w:rsid w:val="00720E9C"/>
    <w:rsid w:val="007211C9"/>
    <w:rsid w:val="00722A05"/>
    <w:rsid w:val="00724AD9"/>
    <w:rsid w:val="00724B66"/>
    <w:rsid w:val="0072549B"/>
    <w:rsid w:val="00726F1D"/>
    <w:rsid w:val="0072747E"/>
    <w:rsid w:val="007316AF"/>
    <w:rsid w:val="00731FF0"/>
    <w:rsid w:val="007324F2"/>
    <w:rsid w:val="0073597E"/>
    <w:rsid w:val="0074170C"/>
    <w:rsid w:val="00741774"/>
    <w:rsid w:val="00743DBC"/>
    <w:rsid w:val="00744A9E"/>
    <w:rsid w:val="00746E23"/>
    <w:rsid w:val="00750647"/>
    <w:rsid w:val="007535F7"/>
    <w:rsid w:val="0075430E"/>
    <w:rsid w:val="00755D9E"/>
    <w:rsid w:val="00760143"/>
    <w:rsid w:val="00761021"/>
    <w:rsid w:val="00762437"/>
    <w:rsid w:val="00762ACC"/>
    <w:rsid w:val="007634E2"/>
    <w:rsid w:val="00764D68"/>
    <w:rsid w:val="00766947"/>
    <w:rsid w:val="007672D3"/>
    <w:rsid w:val="00767374"/>
    <w:rsid w:val="00767700"/>
    <w:rsid w:val="00772BEC"/>
    <w:rsid w:val="0077499A"/>
    <w:rsid w:val="007765CE"/>
    <w:rsid w:val="00776A8D"/>
    <w:rsid w:val="007776FF"/>
    <w:rsid w:val="007779DA"/>
    <w:rsid w:val="00780139"/>
    <w:rsid w:val="0078035A"/>
    <w:rsid w:val="00780FA6"/>
    <w:rsid w:val="00781162"/>
    <w:rsid w:val="00783E0B"/>
    <w:rsid w:val="00784E0A"/>
    <w:rsid w:val="007856B7"/>
    <w:rsid w:val="00785708"/>
    <w:rsid w:val="00787047"/>
    <w:rsid w:val="0078730E"/>
    <w:rsid w:val="007936C4"/>
    <w:rsid w:val="007A1A49"/>
    <w:rsid w:val="007A1C07"/>
    <w:rsid w:val="007A335A"/>
    <w:rsid w:val="007A5AF5"/>
    <w:rsid w:val="007A5C80"/>
    <w:rsid w:val="007A6482"/>
    <w:rsid w:val="007B1297"/>
    <w:rsid w:val="007B150E"/>
    <w:rsid w:val="007B24C5"/>
    <w:rsid w:val="007B365C"/>
    <w:rsid w:val="007B493B"/>
    <w:rsid w:val="007B4D82"/>
    <w:rsid w:val="007B4EC4"/>
    <w:rsid w:val="007B58D5"/>
    <w:rsid w:val="007B7505"/>
    <w:rsid w:val="007B761E"/>
    <w:rsid w:val="007C4B84"/>
    <w:rsid w:val="007C60E7"/>
    <w:rsid w:val="007C73F4"/>
    <w:rsid w:val="007D057D"/>
    <w:rsid w:val="007D0B0E"/>
    <w:rsid w:val="007D1251"/>
    <w:rsid w:val="007D3C2C"/>
    <w:rsid w:val="007D6DEB"/>
    <w:rsid w:val="007E1E89"/>
    <w:rsid w:val="007E2231"/>
    <w:rsid w:val="007E4A3C"/>
    <w:rsid w:val="007E526B"/>
    <w:rsid w:val="007E6368"/>
    <w:rsid w:val="007E6B1C"/>
    <w:rsid w:val="007F1FC9"/>
    <w:rsid w:val="007F2104"/>
    <w:rsid w:val="007F2584"/>
    <w:rsid w:val="007F40C5"/>
    <w:rsid w:val="007F5894"/>
    <w:rsid w:val="007F66DD"/>
    <w:rsid w:val="007F7046"/>
    <w:rsid w:val="00800835"/>
    <w:rsid w:val="00802CE1"/>
    <w:rsid w:val="00805C71"/>
    <w:rsid w:val="0080799C"/>
    <w:rsid w:val="008104BA"/>
    <w:rsid w:val="008105A0"/>
    <w:rsid w:val="0081251C"/>
    <w:rsid w:val="0081358B"/>
    <w:rsid w:val="00813A59"/>
    <w:rsid w:val="0081434D"/>
    <w:rsid w:val="00820241"/>
    <w:rsid w:val="00823DE8"/>
    <w:rsid w:val="008248C2"/>
    <w:rsid w:val="00825972"/>
    <w:rsid w:val="00825D80"/>
    <w:rsid w:val="00825F33"/>
    <w:rsid w:val="008276EB"/>
    <w:rsid w:val="00830612"/>
    <w:rsid w:val="00830C78"/>
    <w:rsid w:val="00831127"/>
    <w:rsid w:val="00834170"/>
    <w:rsid w:val="0083504C"/>
    <w:rsid w:val="00835696"/>
    <w:rsid w:val="0083629B"/>
    <w:rsid w:val="0084099F"/>
    <w:rsid w:val="00843540"/>
    <w:rsid w:val="00843E81"/>
    <w:rsid w:val="00847358"/>
    <w:rsid w:val="008474E3"/>
    <w:rsid w:val="0085361D"/>
    <w:rsid w:val="00853E02"/>
    <w:rsid w:val="00853F04"/>
    <w:rsid w:val="008552CD"/>
    <w:rsid w:val="008552D1"/>
    <w:rsid w:val="008577ED"/>
    <w:rsid w:val="00861CD4"/>
    <w:rsid w:val="00862BF0"/>
    <w:rsid w:val="00864802"/>
    <w:rsid w:val="008656EC"/>
    <w:rsid w:val="00866014"/>
    <w:rsid w:val="00871BB9"/>
    <w:rsid w:val="008725FB"/>
    <w:rsid w:val="00873E09"/>
    <w:rsid w:val="008749D9"/>
    <w:rsid w:val="008777B2"/>
    <w:rsid w:val="008806E3"/>
    <w:rsid w:val="00882B09"/>
    <w:rsid w:val="00884200"/>
    <w:rsid w:val="00885F0C"/>
    <w:rsid w:val="00892F50"/>
    <w:rsid w:val="00896A6C"/>
    <w:rsid w:val="00896DFB"/>
    <w:rsid w:val="008A0035"/>
    <w:rsid w:val="008A134B"/>
    <w:rsid w:val="008A1618"/>
    <w:rsid w:val="008A1845"/>
    <w:rsid w:val="008A1E46"/>
    <w:rsid w:val="008A370B"/>
    <w:rsid w:val="008A4AE5"/>
    <w:rsid w:val="008A5273"/>
    <w:rsid w:val="008A68CF"/>
    <w:rsid w:val="008A7419"/>
    <w:rsid w:val="008B0C28"/>
    <w:rsid w:val="008B1D5A"/>
    <w:rsid w:val="008B700A"/>
    <w:rsid w:val="008C04FD"/>
    <w:rsid w:val="008C0615"/>
    <w:rsid w:val="008C240A"/>
    <w:rsid w:val="008C26A4"/>
    <w:rsid w:val="008C43D3"/>
    <w:rsid w:val="008C55A2"/>
    <w:rsid w:val="008C6FB9"/>
    <w:rsid w:val="008D4B3C"/>
    <w:rsid w:val="008D5A68"/>
    <w:rsid w:val="008D6398"/>
    <w:rsid w:val="008D6E44"/>
    <w:rsid w:val="008D7808"/>
    <w:rsid w:val="008E0B66"/>
    <w:rsid w:val="008E1F00"/>
    <w:rsid w:val="008E30AA"/>
    <w:rsid w:val="008E331C"/>
    <w:rsid w:val="008E45B0"/>
    <w:rsid w:val="008E7158"/>
    <w:rsid w:val="008E7497"/>
    <w:rsid w:val="008E7729"/>
    <w:rsid w:val="008E7D5E"/>
    <w:rsid w:val="008F39F3"/>
    <w:rsid w:val="008F4781"/>
    <w:rsid w:val="008F5E7F"/>
    <w:rsid w:val="00903C40"/>
    <w:rsid w:val="00904CD9"/>
    <w:rsid w:val="009074E4"/>
    <w:rsid w:val="00907825"/>
    <w:rsid w:val="00907AB9"/>
    <w:rsid w:val="009107AD"/>
    <w:rsid w:val="00915B71"/>
    <w:rsid w:val="00915C4F"/>
    <w:rsid w:val="00916479"/>
    <w:rsid w:val="0091650B"/>
    <w:rsid w:val="00917388"/>
    <w:rsid w:val="00920E65"/>
    <w:rsid w:val="00920EA1"/>
    <w:rsid w:val="00921BFF"/>
    <w:rsid w:val="00922808"/>
    <w:rsid w:val="00925282"/>
    <w:rsid w:val="009268C9"/>
    <w:rsid w:val="00927030"/>
    <w:rsid w:val="00930371"/>
    <w:rsid w:val="00930DB7"/>
    <w:rsid w:val="00933718"/>
    <w:rsid w:val="009342AC"/>
    <w:rsid w:val="00934BD7"/>
    <w:rsid w:val="009355A8"/>
    <w:rsid w:val="00937D72"/>
    <w:rsid w:val="00940DAC"/>
    <w:rsid w:val="00940F4D"/>
    <w:rsid w:val="0094113C"/>
    <w:rsid w:val="00941C3E"/>
    <w:rsid w:val="0094238B"/>
    <w:rsid w:val="009438C8"/>
    <w:rsid w:val="00944983"/>
    <w:rsid w:val="009479AD"/>
    <w:rsid w:val="009522D4"/>
    <w:rsid w:val="00952F56"/>
    <w:rsid w:val="00953EE0"/>
    <w:rsid w:val="0096093C"/>
    <w:rsid w:val="009628C5"/>
    <w:rsid w:val="009666EA"/>
    <w:rsid w:val="00970F60"/>
    <w:rsid w:val="0097145C"/>
    <w:rsid w:val="00972464"/>
    <w:rsid w:val="009750A7"/>
    <w:rsid w:val="009753B6"/>
    <w:rsid w:val="009755FA"/>
    <w:rsid w:val="00975E93"/>
    <w:rsid w:val="00975E9A"/>
    <w:rsid w:val="00976105"/>
    <w:rsid w:val="009767AD"/>
    <w:rsid w:val="009775D6"/>
    <w:rsid w:val="009805AF"/>
    <w:rsid w:val="009818A3"/>
    <w:rsid w:val="00985F89"/>
    <w:rsid w:val="00993D66"/>
    <w:rsid w:val="00994415"/>
    <w:rsid w:val="0099474B"/>
    <w:rsid w:val="00996753"/>
    <w:rsid w:val="009A073F"/>
    <w:rsid w:val="009A0CA7"/>
    <w:rsid w:val="009A1039"/>
    <w:rsid w:val="009A474D"/>
    <w:rsid w:val="009A4B72"/>
    <w:rsid w:val="009A51BA"/>
    <w:rsid w:val="009A60C8"/>
    <w:rsid w:val="009B1C94"/>
    <w:rsid w:val="009B24D7"/>
    <w:rsid w:val="009B27D0"/>
    <w:rsid w:val="009B3DC0"/>
    <w:rsid w:val="009B52A4"/>
    <w:rsid w:val="009B533E"/>
    <w:rsid w:val="009B6259"/>
    <w:rsid w:val="009B6A35"/>
    <w:rsid w:val="009C1C5F"/>
    <w:rsid w:val="009C4073"/>
    <w:rsid w:val="009C4CBF"/>
    <w:rsid w:val="009C4FC3"/>
    <w:rsid w:val="009C5A3D"/>
    <w:rsid w:val="009C5A97"/>
    <w:rsid w:val="009C6673"/>
    <w:rsid w:val="009C6C0E"/>
    <w:rsid w:val="009D06EA"/>
    <w:rsid w:val="009D20BE"/>
    <w:rsid w:val="009D2DA2"/>
    <w:rsid w:val="009D5436"/>
    <w:rsid w:val="009D74E1"/>
    <w:rsid w:val="009E0E61"/>
    <w:rsid w:val="009E0F3C"/>
    <w:rsid w:val="009E1D46"/>
    <w:rsid w:val="009E2A04"/>
    <w:rsid w:val="009E2AED"/>
    <w:rsid w:val="009E36CF"/>
    <w:rsid w:val="009E3E1E"/>
    <w:rsid w:val="009E5131"/>
    <w:rsid w:val="009E58E7"/>
    <w:rsid w:val="009E6653"/>
    <w:rsid w:val="009F03D2"/>
    <w:rsid w:val="009F1914"/>
    <w:rsid w:val="009F42A7"/>
    <w:rsid w:val="009F4A87"/>
    <w:rsid w:val="009F5266"/>
    <w:rsid w:val="00A01A81"/>
    <w:rsid w:val="00A0228B"/>
    <w:rsid w:val="00A040C3"/>
    <w:rsid w:val="00A0433F"/>
    <w:rsid w:val="00A04F02"/>
    <w:rsid w:val="00A05495"/>
    <w:rsid w:val="00A058A1"/>
    <w:rsid w:val="00A06AA1"/>
    <w:rsid w:val="00A11C0B"/>
    <w:rsid w:val="00A11E3B"/>
    <w:rsid w:val="00A13A83"/>
    <w:rsid w:val="00A14606"/>
    <w:rsid w:val="00A15043"/>
    <w:rsid w:val="00A15438"/>
    <w:rsid w:val="00A204AC"/>
    <w:rsid w:val="00A2627C"/>
    <w:rsid w:val="00A30F7E"/>
    <w:rsid w:val="00A3178A"/>
    <w:rsid w:val="00A31B3A"/>
    <w:rsid w:val="00A33C35"/>
    <w:rsid w:val="00A34CEC"/>
    <w:rsid w:val="00A3512B"/>
    <w:rsid w:val="00A35C42"/>
    <w:rsid w:val="00A36097"/>
    <w:rsid w:val="00A40191"/>
    <w:rsid w:val="00A414E7"/>
    <w:rsid w:val="00A41FCA"/>
    <w:rsid w:val="00A4485A"/>
    <w:rsid w:val="00A4558D"/>
    <w:rsid w:val="00A46930"/>
    <w:rsid w:val="00A47938"/>
    <w:rsid w:val="00A55D0F"/>
    <w:rsid w:val="00A57624"/>
    <w:rsid w:val="00A60239"/>
    <w:rsid w:val="00A60427"/>
    <w:rsid w:val="00A61752"/>
    <w:rsid w:val="00A63B77"/>
    <w:rsid w:val="00A67F21"/>
    <w:rsid w:val="00A70703"/>
    <w:rsid w:val="00A70FAC"/>
    <w:rsid w:val="00A74204"/>
    <w:rsid w:val="00A743F6"/>
    <w:rsid w:val="00A7440A"/>
    <w:rsid w:val="00A748D4"/>
    <w:rsid w:val="00A77317"/>
    <w:rsid w:val="00A81673"/>
    <w:rsid w:val="00A82930"/>
    <w:rsid w:val="00A83795"/>
    <w:rsid w:val="00A84861"/>
    <w:rsid w:val="00A85389"/>
    <w:rsid w:val="00A85808"/>
    <w:rsid w:val="00A90CC1"/>
    <w:rsid w:val="00A922C2"/>
    <w:rsid w:val="00A95DEC"/>
    <w:rsid w:val="00A96E25"/>
    <w:rsid w:val="00A976E7"/>
    <w:rsid w:val="00AA1193"/>
    <w:rsid w:val="00AA2456"/>
    <w:rsid w:val="00AA307A"/>
    <w:rsid w:val="00AA35FA"/>
    <w:rsid w:val="00AA63C7"/>
    <w:rsid w:val="00AA6B1C"/>
    <w:rsid w:val="00AA71BE"/>
    <w:rsid w:val="00AA7264"/>
    <w:rsid w:val="00AB1029"/>
    <w:rsid w:val="00AB118A"/>
    <w:rsid w:val="00AB247C"/>
    <w:rsid w:val="00AB2CA0"/>
    <w:rsid w:val="00AB3A61"/>
    <w:rsid w:val="00AB3D14"/>
    <w:rsid w:val="00AB6BA8"/>
    <w:rsid w:val="00AC1699"/>
    <w:rsid w:val="00AC1CEC"/>
    <w:rsid w:val="00AC4451"/>
    <w:rsid w:val="00AC6723"/>
    <w:rsid w:val="00AD08D4"/>
    <w:rsid w:val="00AD0F27"/>
    <w:rsid w:val="00AD1F2F"/>
    <w:rsid w:val="00AD293B"/>
    <w:rsid w:val="00AD5464"/>
    <w:rsid w:val="00AD7B8E"/>
    <w:rsid w:val="00AE0297"/>
    <w:rsid w:val="00AE30D3"/>
    <w:rsid w:val="00AF1032"/>
    <w:rsid w:val="00AF1B93"/>
    <w:rsid w:val="00AF2CBB"/>
    <w:rsid w:val="00AF3894"/>
    <w:rsid w:val="00B0020B"/>
    <w:rsid w:val="00B0232D"/>
    <w:rsid w:val="00B04AB5"/>
    <w:rsid w:val="00B04D5C"/>
    <w:rsid w:val="00B05382"/>
    <w:rsid w:val="00B05755"/>
    <w:rsid w:val="00B07FA4"/>
    <w:rsid w:val="00B10F76"/>
    <w:rsid w:val="00B124F9"/>
    <w:rsid w:val="00B127AA"/>
    <w:rsid w:val="00B1299A"/>
    <w:rsid w:val="00B12E18"/>
    <w:rsid w:val="00B1375D"/>
    <w:rsid w:val="00B14E6A"/>
    <w:rsid w:val="00B15E31"/>
    <w:rsid w:val="00B16FEA"/>
    <w:rsid w:val="00B17391"/>
    <w:rsid w:val="00B17F6D"/>
    <w:rsid w:val="00B20356"/>
    <w:rsid w:val="00B20825"/>
    <w:rsid w:val="00B20A3C"/>
    <w:rsid w:val="00B215F4"/>
    <w:rsid w:val="00B23FC9"/>
    <w:rsid w:val="00B26587"/>
    <w:rsid w:val="00B27BF5"/>
    <w:rsid w:val="00B306FE"/>
    <w:rsid w:val="00B30E3B"/>
    <w:rsid w:val="00B31F94"/>
    <w:rsid w:val="00B3483D"/>
    <w:rsid w:val="00B3582B"/>
    <w:rsid w:val="00B42347"/>
    <w:rsid w:val="00B42C07"/>
    <w:rsid w:val="00B42DCB"/>
    <w:rsid w:val="00B44357"/>
    <w:rsid w:val="00B45737"/>
    <w:rsid w:val="00B459EC"/>
    <w:rsid w:val="00B46BF8"/>
    <w:rsid w:val="00B4703B"/>
    <w:rsid w:val="00B47047"/>
    <w:rsid w:val="00B47A86"/>
    <w:rsid w:val="00B544B0"/>
    <w:rsid w:val="00B55EBF"/>
    <w:rsid w:val="00B560D1"/>
    <w:rsid w:val="00B60A8E"/>
    <w:rsid w:val="00B630A4"/>
    <w:rsid w:val="00B6516D"/>
    <w:rsid w:val="00B66D85"/>
    <w:rsid w:val="00B702D1"/>
    <w:rsid w:val="00B734BD"/>
    <w:rsid w:val="00B73870"/>
    <w:rsid w:val="00B73F1B"/>
    <w:rsid w:val="00B74AC4"/>
    <w:rsid w:val="00B74FF5"/>
    <w:rsid w:val="00B75891"/>
    <w:rsid w:val="00B759FE"/>
    <w:rsid w:val="00B771E7"/>
    <w:rsid w:val="00B77552"/>
    <w:rsid w:val="00B80717"/>
    <w:rsid w:val="00B8429A"/>
    <w:rsid w:val="00B90BE7"/>
    <w:rsid w:val="00B931F3"/>
    <w:rsid w:val="00B95F2B"/>
    <w:rsid w:val="00B9665B"/>
    <w:rsid w:val="00BA1437"/>
    <w:rsid w:val="00BA2A21"/>
    <w:rsid w:val="00BA4837"/>
    <w:rsid w:val="00BA4CB9"/>
    <w:rsid w:val="00BA524A"/>
    <w:rsid w:val="00BA549D"/>
    <w:rsid w:val="00BA6027"/>
    <w:rsid w:val="00BA739F"/>
    <w:rsid w:val="00BA7762"/>
    <w:rsid w:val="00BB0084"/>
    <w:rsid w:val="00BB068F"/>
    <w:rsid w:val="00BB1083"/>
    <w:rsid w:val="00BB23C2"/>
    <w:rsid w:val="00BB28E3"/>
    <w:rsid w:val="00BB40D2"/>
    <w:rsid w:val="00BB6820"/>
    <w:rsid w:val="00BB6A49"/>
    <w:rsid w:val="00BB768F"/>
    <w:rsid w:val="00BB7B54"/>
    <w:rsid w:val="00BC0635"/>
    <w:rsid w:val="00BC21C4"/>
    <w:rsid w:val="00BC4136"/>
    <w:rsid w:val="00BC4DE1"/>
    <w:rsid w:val="00BC557C"/>
    <w:rsid w:val="00BC5CE3"/>
    <w:rsid w:val="00BC68EA"/>
    <w:rsid w:val="00BC6D55"/>
    <w:rsid w:val="00BD0E6D"/>
    <w:rsid w:val="00BD13DF"/>
    <w:rsid w:val="00BD32F3"/>
    <w:rsid w:val="00BD4A5C"/>
    <w:rsid w:val="00BD5386"/>
    <w:rsid w:val="00BD664C"/>
    <w:rsid w:val="00BE24D0"/>
    <w:rsid w:val="00BE42B1"/>
    <w:rsid w:val="00BE43A0"/>
    <w:rsid w:val="00BE452F"/>
    <w:rsid w:val="00BE49D0"/>
    <w:rsid w:val="00BE6B8B"/>
    <w:rsid w:val="00BF23FC"/>
    <w:rsid w:val="00BF5162"/>
    <w:rsid w:val="00C03647"/>
    <w:rsid w:val="00C04502"/>
    <w:rsid w:val="00C0606F"/>
    <w:rsid w:val="00C1469D"/>
    <w:rsid w:val="00C14C0E"/>
    <w:rsid w:val="00C164F7"/>
    <w:rsid w:val="00C166FA"/>
    <w:rsid w:val="00C16D84"/>
    <w:rsid w:val="00C238A9"/>
    <w:rsid w:val="00C24474"/>
    <w:rsid w:val="00C24896"/>
    <w:rsid w:val="00C26F4C"/>
    <w:rsid w:val="00C32689"/>
    <w:rsid w:val="00C345A6"/>
    <w:rsid w:val="00C34E66"/>
    <w:rsid w:val="00C351B9"/>
    <w:rsid w:val="00C362A4"/>
    <w:rsid w:val="00C36B7C"/>
    <w:rsid w:val="00C40043"/>
    <w:rsid w:val="00C4054A"/>
    <w:rsid w:val="00C414FE"/>
    <w:rsid w:val="00C43FCF"/>
    <w:rsid w:val="00C447B7"/>
    <w:rsid w:val="00C46E63"/>
    <w:rsid w:val="00C46E86"/>
    <w:rsid w:val="00C510D7"/>
    <w:rsid w:val="00C51562"/>
    <w:rsid w:val="00C53B23"/>
    <w:rsid w:val="00C5408F"/>
    <w:rsid w:val="00C54137"/>
    <w:rsid w:val="00C56FDE"/>
    <w:rsid w:val="00C641C8"/>
    <w:rsid w:val="00C655B3"/>
    <w:rsid w:val="00C67AA5"/>
    <w:rsid w:val="00C700AC"/>
    <w:rsid w:val="00C71238"/>
    <w:rsid w:val="00C73C09"/>
    <w:rsid w:val="00C74CC5"/>
    <w:rsid w:val="00C754BC"/>
    <w:rsid w:val="00C76520"/>
    <w:rsid w:val="00C80169"/>
    <w:rsid w:val="00C80AB3"/>
    <w:rsid w:val="00C81A8F"/>
    <w:rsid w:val="00C81E83"/>
    <w:rsid w:val="00C82A7B"/>
    <w:rsid w:val="00C82E5B"/>
    <w:rsid w:val="00C8386A"/>
    <w:rsid w:val="00C854A8"/>
    <w:rsid w:val="00C86F61"/>
    <w:rsid w:val="00C90B69"/>
    <w:rsid w:val="00C924B3"/>
    <w:rsid w:val="00C95F3C"/>
    <w:rsid w:val="00C960A9"/>
    <w:rsid w:val="00C97694"/>
    <w:rsid w:val="00CA1662"/>
    <w:rsid w:val="00CA1893"/>
    <w:rsid w:val="00CA26CF"/>
    <w:rsid w:val="00CA60C2"/>
    <w:rsid w:val="00CA779A"/>
    <w:rsid w:val="00CB0757"/>
    <w:rsid w:val="00CB1318"/>
    <w:rsid w:val="00CB1EA9"/>
    <w:rsid w:val="00CB4953"/>
    <w:rsid w:val="00CC029C"/>
    <w:rsid w:val="00CC1079"/>
    <w:rsid w:val="00CC2468"/>
    <w:rsid w:val="00CC2C0C"/>
    <w:rsid w:val="00CC2F2E"/>
    <w:rsid w:val="00CC51C9"/>
    <w:rsid w:val="00CD0806"/>
    <w:rsid w:val="00CD2F58"/>
    <w:rsid w:val="00CD46CD"/>
    <w:rsid w:val="00CD63BB"/>
    <w:rsid w:val="00CD734C"/>
    <w:rsid w:val="00CE0321"/>
    <w:rsid w:val="00CE0B48"/>
    <w:rsid w:val="00CE0CAF"/>
    <w:rsid w:val="00CE4141"/>
    <w:rsid w:val="00CE4C0E"/>
    <w:rsid w:val="00CE72EC"/>
    <w:rsid w:val="00CE7814"/>
    <w:rsid w:val="00CE7A2C"/>
    <w:rsid w:val="00CF185E"/>
    <w:rsid w:val="00CF2864"/>
    <w:rsid w:val="00CF2B96"/>
    <w:rsid w:val="00CF2CF5"/>
    <w:rsid w:val="00CF4978"/>
    <w:rsid w:val="00CF4D92"/>
    <w:rsid w:val="00CF508F"/>
    <w:rsid w:val="00CF7A4F"/>
    <w:rsid w:val="00D00082"/>
    <w:rsid w:val="00D00B5E"/>
    <w:rsid w:val="00D01ABF"/>
    <w:rsid w:val="00D02CA8"/>
    <w:rsid w:val="00D0339D"/>
    <w:rsid w:val="00D05EF4"/>
    <w:rsid w:val="00D06503"/>
    <w:rsid w:val="00D07E55"/>
    <w:rsid w:val="00D10062"/>
    <w:rsid w:val="00D10487"/>
    <w:rsid w:val="00D1080A"/>
    <w:rsid w:val="00D121BA"/>
    <w:rsid w:val="00D13359"/>
    <w:rsid w:val="00D13A6A"/>
    <w:rsid w:val="00D14C47"/>
    <w:rsid w:val="00D16794"/>
    <w:rsid w:val="00D16F0C"/>
    <w:rsid w:val="00D17455"/>
    <w:rsid w:val="00D20503"/>
    <w:rsid w:val="00D22E2F"/>
    <w:rsid w:val="00D24604"/>
    <w:rsid w:val="00D32077"/>
    <w:rsid w:val="00D336B0"/>
    <w:rsid w:val="00D3392F"/>
    <w:rsid w:val="00D350D5"/>
    <w:rsid w:val="00D36D5D"/>
    <w:rsid w:val="00D37169"/>
    <w:rsid w:val="00D40E99"/>
    <w:rsid w:val="00D416DF"/>
    <w:rsid w:val="00D4367F"/>
    <w:rsid w:val="00D43C5D"/>
    <w:rsid w:val="00D44276"/>
    <w:rsid w:val="00D4609F"/>
    <w:rsid w:val="00D46462"/>
    <w:rsid w:val="00D4699E"/>
    <w:rsid w:val="00D474E2"/>
    <w:rsid w:val="00D525D3"/>
    <w:rsid w:val="00D535CB"/>
    <w:rsid w:val="00D53F58"/>
    <w:rsid w:val="00D54247"/>
    <w:rsid w:val="00D60274"/>
    <w:rsid w:val="00D62173"/>
    <w:rsid w:val="00D66E10"/>
    <w:rsid w:val="00D73EA3"/>
    <w:rsid w:val="00D74CE6"/>
    <w:rsid w:val="00D76518"/>
    <w:rsid w:val="00D76A71"/>
    <w:rsid w:val="00D8038A"/>
    <w:rsid w:val="00D811EB"/>
    <w:rsid w:val="00D830D8"/>
    <w:rsid w:val="00D838AC"/>
    <w:rsid w:val="00D843F9"/>
    <w:rsid w:val="00D871E8"/>
    <w:rsid w:val="00D8763A"/>
    <w:rsid w:val="00D87CCD"/>
    <w:rsid w:val="00D87D54"/>
    <w:rsid w:val="00D90542"/>
    <w:rsid w:val="00D916BF"/>
    <w:rsid w:val="00D91931"/>
    <w:rsid w:val="00D925A0"/>
    <w:rsid w:val="00D92A83"/>
    <w:rsid w:val="00D95B16"/>
    <w:rsid w:val="00D96801"/>
    <w:rsid w:val="00DA03C8"/>
    <w:rsid w:val="00DA1590"/>
    <w:rsid w:val="00DA1E88"/>
    <w:rsid w:val="00DA2E00"/>
    <w:rsid w:val="00DA3D39"/>
    <w:rsid w:val="00DA4037"/>
    <w:rsid w:val="00DA42C2"/>
    <w:rsid w:val="00DA461D"/>
    <w:rsid w:val="00DA4D8B"/>
    <w:rsid w:val="00DA5C66"/>
    <w:rsid w:val="00DA6417"/>
    <w:rsid w:val="00DA6E61"/>
    <w:rsid w:val="00DA7EB3"/>
    <w:rsid w:val="00DB04E4"/>
    <w:rsid w:val="00DB30EF"/>
    <w:rsid w:val="00DB3A11"/>
    <w:rsid w:val="00DB50AD"/>
    <w:rsid w:val="00DB5F82"/>
    <w:rsid w:val="00DB6FD5"/>
    <w:rsid w:val="00DC07B3"/>
    <w:rsid w:val="00DC0AE4"/>
    <w:rsid w:val="00DC1695"/>
    <w:rsid w:val="00DC1CAF"/>
    <w:rsid w:val="00DC1FE8"/>
    <w:rsid w:val="00DC6F55"/>
    <w:rsid w:val="00DC7156"/>
    <w:rsid w:val="00DD04B7"/>
    <w:rsid w:val="00DD1103"/>
    <w:rsid w:val="00DD2898"/>
    <w:rsid w:val="00DD3E3E"/>
    <w:rsid w:val="00DD3F6C"/>
    <w:rsid w:val="00DD4443"/>
    <w:rsid w:val="00DD73C9"/>
    <w:rsid w:val="00DD7AF6"/>
    <w:rsid w:val="00DE0825"/>
    <w:rsid w:val="00DE1BAF"/>
    <w:rsid w:val="00DE351D"/>
    <w:rsid w:val="00DE5122"/>
    <w:rsid w:val="00DE75DE"/>
    <w:rsid w:val="00DE7E69"/>
    <w:rsid w:val="00DF2AC6"/>
    <w:rsid w:val="00DF48E4"/>
    <w:rsid w:val="00DF4B5E"/>
    <w:rsid w:val="00DF6E0B"/>
    <w:rsid w:val="00E00081"/>
    <w:rsid w:val="00E03BA9"/>
    <w:rsid w:val="00E04017"/>
    <w:rsid w:val="00E04131"/>
    <w:rsid w:val="00E06EA6"/>
    <w:rsid w:val="00E1328D"/>
    <w:rsid w:val="00E13DB5"/>
    <w:rsid w:val="00E17696"/>
    <w:rsid w:val="00E205C9"/>
    <w:rsid w:val="00E23200"/>
    <w:rsid w:val="00E24583"/>
    <w:rsid w:val="00E302F1"/>
    <w:rsid w:val="00E32A59"/>
    <w:rsid w:val="00E3413A"/>
    <w:rsid w:val="00E3515B"/>
    <w:rsid w:val="00E40815"/>
    <w:rsid w:val="00E41A03"/>
    <w:rsid w:val="00E50405"/>
    <w:rsid w:val="00E51C92"/>
    <w:rsid w:val="00E54BD7"/>
    <w:rsid w:val="00E56416"/>
    <w:rsid w:val="00E576E7"/>
    <w:rsid w:val="00E60438"/>
    <w:rsid w:val="00E610F8"/>
    <w:rsid w:val="00E617D7"/>
    <w:rsid w:val="00E66C71"/>
    <w:rsid w:val="00E70057"/>
    <w:rsid w:val="00E77A79"/>
    <w:rsid w:val="00E77E53"/>
    <w:rsid w:val="00E80E08"/>
    <w:rsid w:val="00E81BA0"/>
    <w:rsid w:val="00E81C38"/>
    <w:rsid w:val="00E81E8E"/>
    <w:rsid w:val="00E822C3"/>
    <w:rsid w:val="00E82766"/>
    <w:rsid w:val="00E82826"/>
    <w:rsid w:val="00E82D70"/>
    <w:rsid w:val="00E83C9F"/>
    <w:rsid w:val="00E84989"/>
    <w:rsid w:val="00E85AB2"/>
    <w:rsid w:val="00E85BAA"/>
    <w:rsid w:val="00E85ED4"/>
    <w:rsid w:val="00E9115A"/>
    <w:rsid w:val="00E9139D"/>
    <w:rsid w:val="00E91B58"/>
    <w:rsid w:val="00E94979"/>
    <w:rsid w:val="00E94EF6"/>
    <w:rsid w:val="00EA0128"/>
    <w:rsid w:val="00EA5F0E"/>
    <w:rsid w:val="00EB07BE"/>
    <w:rsid w:val="00EB3CBC"/>
    <w:rsid w:val="00EB4B3B"/>
    <w:rsid w:val="00EB4E22"/>
    <w:rsid w:val="00EB5BE0"/>
    <w:rsid w:val="00EB6C14"/>
    <w:rsid w:val="00EC19A3"/>
    <w:rsid w:val="00EC362D"/>
    <w:rsid w:val="00EC4772"/>
    <w:rsid w:val="00ED1B47"/>
    <w:rsid w:val="00ED2400"/>
    <w:rsid w:val="00ED479C"/>
    <w:rsid w:val="00ED4909"/>
    <w:rsid w:val="00ED7CF5"/>
    <w:rsid w:val="00EE0753"/>
    <w:rsid w:val="00EE1846"/>
    <w:rsid w:val="00EE2A80"/>
    <w:rsid w:val="00EE420B"/>
    <w:rsid w:val="00EE7DF8"/>
    <w:rsid w:val="00EE7E70"/>
    <w:rsid w:val="00EF1260"/>
    <w:rsid w:val="00EF14B9"/>
    <w:rsid w:val="00EF34FD"/>
    <w:rsid w:val="00EF5010"/>
    <w:rsid w:val="00EF5C86"/>
    <w:rsid w:val="00EF5CBB"/>
    <w:rsid w:val="00EF67E0"/>
    <w:rsid w:val="00EF7520"/>
    <w:rsid w:val="00EF7B7B"/>
    <w:rsid w:val="00EF7FAA"/>
    <w:rsid w:val="00F03C83"/>
    <w:rsid w:val="00F058D1"/>
    <w:rsid w:val="00F0704D"/>
    <w:rsid w:val="00F07754"/>
    <w:rsid w:val="00F108B2"/>
    <w:rsid w:val="00F12B31"/>
    <w:rsid w:val="00F13542"/>
    <w:rsid w:val="00F14429"/>
    <w:rsid w:val="00F14879"/>
    <w:rsid w:val="00F1513D"/>
    <w:rsid w:val="00F15A3A"/>
    <w:rsid w:val="00F15E09"/>
    <w:rsid w:val="00F21225"/>
    <w:rsid w:val="00F219C5"/>
    <w:rsid w:val="00F21E75"/>
    <w:rsid w:val="00F236C1"/>
    <w:rsid w:val="00F23879"/>
    <w:rsid w:val="00F249D6"/>
    <w:rsid w:val="00F24B6A"/>
    <w:rsid w:val="00F24E8F"/>
    <w:rsid w:val="00F277C1"/>
    <w:rsid w:val="00F30BB7"/>
    <w:rsid w:val="00F317AA"/>
    <w:rsid w:val="00F3232F"/>
    <w:rsid w:val="00F366BE"/>
    <w:rsid w:val="00F377A8"/>
    <w:rsid w:val="00F37E02"/>
    <w:rsid w:val="00F421FC"/>
    <w:rsid w:val="00F4315D"/>
    <w:rsid w:val="00F44FA2"/>
    <w:rsid w:val="00F4508C"/>
    <w:rsid w:val="00F50DC3"/>
    <w:rsid w:val="00F51514"/>
    <w:rsid w:val="00F51AD4"/>
    <w:rsid w:val="00F5247E"/>
    <w:rsid w:val="00F52CFE"/>
    <w:rsid w:val="00F54711"/>
    <w:rsid w:val="00F5688E"/>
    <w:rsid w:val="00F62271"/>
    <w:rsid w:val="00F63E09"/>
    <w:rsid w:val="00F642BB"/>
    <w:rsid w:val="00F674D2"/>
    <w:rsid w:val="00F70379"/>
    <w:rsid w:val="00F71EAF"/>
    <w:rsid w:val="00F72F9D"/>
    <w:rsid w:val="00F74045"/>
    <w:rsid w:val="00F74CA6"/>
    <w:rsid w:val="00F7687D"/>
    <w:rsid w:val="00F77B77"/>
    <w:rsid w:val="00F81E37"/>
    <w:rsid w:val="00F83613"/>
    <w:rsid w:val="00F84080"/>
    <w:rsid w:val="00F862AB"/>
    <w:rsid w:val="00F86D0B"/>
    <w:rsid w:val="00F93860"/>
    <w:rsid w:val="00F93A9B"/>
    <w:rsid w:val="00F943A8"/>
    <w:rsid w:val="00F94955"/>
    <w:rsid w:val="00FA1E04"/>
    <w:rsid w:val="00FA423D"/>
    <w:rsid w:val="00FA44F1"/>
    <w:rsid w:val="00FA5760"/>
    <w:rsid w:val="00FA6C0A"/>
    <w:rsid w:val="00FA6D38"/>
    <w:rsid w:val="00FB0441"/>
    <w:rsid w:val="00FB3794"/>
    <w:rsid w:val="00FB3F2E"/>
    <w:rsid w:val="00FB5289"/>
    <w:rsid w:val="00FB55F6"/>
    <w:rsid w:val="00FB581A"/>
    <w:rsid w:val="00FC4492"/>
    <w:rsid w:val="00FC677E"/>
    <w:rsid w:val="00FC6A04"/>
    <w:rsid w:val="00FD112E"/>
    <w:rsid w:val="00FD15A2"/>
    <w:rsid w:val="00FD267D"/>
    <w:rsid w:val="00FD5C60"/>
    <w:rsid w:val="00FD678A"/>
    <w:rsid w:val="00FD722A"/>
    <w:rsid w:val="00FE1D74"/>
    <w:rsid w:val="00FE3396"/>
    <w:rsid w:val="00FE4028"/>
    <w:rsid w:val="00FE52EC"/>
    <w:rsid w:val="00FF0736"/>
    <w:rsid w:val="00FF0792"/>
    <w:rsid w:val="00FF154F"/>
    <w:rsid w:val="00FF362F"/>
    <w:rsid w:val="00FF5D34"/>
    <w:rsid w:val="00FF6E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44FAE"/>
  <w15:docId w15:val="{04861653-CBC3-4E6F-BA6A-D82DB83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DF"/>
  </w:style>
  <w:style w:type="paragraph" w:styleId="Heading1">
    <w:name w:val="heading 1"/>
    <w:basedOn w:val="Normal"/>
    <w:next w:val="Normal"/>
    <w:link w:val="Heading1Char"/>
    <w:uiPriority w:val="9"/>
    <w:qFormat/>
    <w:rsid w:val="00E041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566217"/>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B7"/>
  </w:style>
  <w:style w:type="paragraph" w:styleId="Footer">
    <w:name w:val="footer"/>
    <w:basedOn w:val="Normal"/>
    <w:link w:val="FooterChar"/>
    <w:uiPriority w:val="99"/>
    <w:unhideWhenUsed/>
    <w:rsid w:val="002D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B7"/>
  </w:style>
  <w:style w:type="paragraph" w:styleId="NoSpacing">
    <w:name w:val="No Spacing"/>
    <w:uiPriority w:val="1"/>
    <w:qFormat/>
    <w:rsid w:val="00E04131"/>
    <w:pPr>
      <w:spacing w:after="0" w:line="240" w:lineRule="auto"/>
    </w:pPr>
  </w:style>
  <w:style w:type="character" w:customStyle="1" w:styleId="Heading1Char">
    <w:name w:val="Heading 1 Char"/>
    <w:basedOn w:val="DefaultParagraphFont"/>
    <w:link w:val="Heading1"/>
    <w:uiPriority w:val="9"/>
    <w:rsid w:val="00E0413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61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79"/>
    <w:rPr>
      <w:rFonts w:ascii="Segoe UI" w:hAnsi="Segoe UI" w:cs="Segoe UI"/>
      <w:sz w:val="18"/>
      <w:szCs w:val="18"/>
    </w:rPr>
  </w:style>
  <w:style w:type="paragraph" w:styleId="ListParagraph">
    <w:name w:val="List Paragraph"/>
    <w:basedOn w:val="Normal"/>
    <w:uiPriority w:val="34"/>
    <w:qFormat/>
    <w:rsid w:val="00052C70"/>
    <w:pPr>
      <w:ind w:left="720"/>
      <w:contextualSpacing/>
    </w:pPr>
  </w:style>
  <w:style w:type="character" w:customStyle="1" w:styleId="Heading2Char">
    <w:name w:val="Heading 2 Char"/>
    <w:basedOn w:val="DefaultParagraphFont"/>
    <w:link w:val="Heading2"/>
    <w:uiPriority w:val="9"/>
    <w:rsid w:val="00201AF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C50B6"/>
    <w:pPr>
      <w:outlineLvl w:val="9"/>
    </w:pPr>
  </w:style>
  <w:style w:type="paragraph" w:styleId="TOC1">
    <w:name w:val="toc 1"/>
    <w:basedOn w:val="Normal"/>
    <w:next w:val="Normal"/>
    <w:autoRedefine/>
    <w:uiPriority w:val="39"/>
    <w:unhideWhenUsed/>
    <w:rsid w:val="006C50B6"/>
    <w:pPr>
      <w:spacing w:after="100"/>
    </w:pPr>
  </w:style>
  <w:style w:type="paragraph" w:styleId="TOC2">
    <w:name w:val="toc 2"/>
    <w:basedOn w:val="Normal"/>
    <w:next w:val="Normal"/>
    <w:autoRedefine/>
    <w:uiPriority w:val="39"/>
    <w:unhideWhenUsed/>
    <w:rsid w:val="006C50B6"/>
    <w:pPr>
      <w:spacing w:after="100"/>
      <w:ind w:left="220"/>
    </w:pPr>
  </w:style>
  <w:style w:type="character" w:styleId="Hyperlink">
    <w:name w:val="Hyperlink"/>
    <w:basedOn w:val="DefaultParagraphFont"/>
    <w:uiPriority w:val="99"/>
    <w:unhideWhenUsed/>
    <w:rsid w:val="006C50B6"/>
    <w:rPr>
      <w:color w:val="0563C1" w:themeColor="hyperlink"/>
      <w:u w:val="single"/>
    </w:rPr>
  </w:style>
  <w:style w:type="character" w:customStyle="1" w:styleId="Heading3Char">
    <w:name w:val="Heading 3 Char"/>
    <w:basedOn w:val="DefaultParagraphFont"/>
    <w:link w:val="Heading3"/>
    <w:uiPriority w:val="9"/>
    <w:rsid w:val="00F93A9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F7581"/>
    <w:pPr>
      <w:spacing w:after="100"/>
      <w:ind w:left="440"/>
    </w:pPr>
  </w:style>
  <w:style w:type="table" w:styleId="TableGrid">
    <w:name w:val="Table Grid"/>
    <w:basedOn w:val="TableNormal"/>
    <w:uiPriority w:val="59"/>
    <w:rsid w:val="00235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694E99"/>
    <w:pPr>
      <w:widowControl w:val="0"/>
      <w:autoSpaceDE w:val="0"/>
      <w:autoSpaceDN w:val="0"/>
      <w:adjustRightInd w:val="0"/>
      <w:spacing w:after="0" w:line="216" w:lineRule="exact"/>
      <w:ind w:right="124"/>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694E99"/>
    <w:rPr>
      <w:rFonts w:ascii="Times New Roman" w:eastAsia="Times New Roman" w:hAnsi="Times New Roman" w:cs="Times New Roman"/>
      <w:sz w:val="24"/>
      <w:szCs w:val="20"/>
      <w:lang w:val="x-none" w:eastAsia="x-none"/>
    </w:rPr>
  </w:style>
  <w:style w:type="paragraph" w:styleId="Caption">
    <w:name w:val="caption"/>
    <w:basedOn w:val="Normal"/>
    <w:next w:val="Normal"/>
    <w:uiPriority w:val="35"/>
    <w:unhideWhenUsed/>
    <w:qFormat/>
    <w:rsid w:val="00096C5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677A8"/>
    <w:pPr>
      <w:spacing w:after="0"/>
    </w:pPr>
  </w:style>
  <w:style w:type="paragraph" w:styleId="Revision">
    <w:name w:val="Revision"/>
    <w:hidden/>
    <w:uiPriority w:val="99"/>
    <w:semiHidden/>
    <w:rsid w:val="00146DC8"/>
    <w:pPr>
      <w:spacing w:after="0" w:line="240" w:lineRule="auto"/>
    </w:pPr>
  </w:style>
  <w:style w:type="paragraph" w:customStyle="1" w:styleId="Default">
    <w:name w:val="Default"/>
    <w:rsid w:val="00157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566217"/>
    <w:rPr>
      <w:rFonts w:eastAsiaTheme="majorEastAsia" w:cstheme="majorBidi"/>
      <w:color w:val="272727" w:themeColor="text1" w:themeTint="D8"/>
      <w:kern w:val="2"/>
      <w:lang w:val="en-GB"/>
      <w14:ligatures w14:val="standardContextual"/>
    </w:rPr>
  </w:style>
  <w:style w:type="character" w:styleId="CommentReference">
    <w:name w:val="annotation reference"/>
    <w:basedOn w:val="DefaultParagraphFont"/>
    <w:uiPriority w:val="99"/>
    <w:semiHidden/>
    <w:unhideWhenUsed/>
    <w:rsid w:val="00111FEC"/>
    <w:rPr>
      <w:sz w:val="16"/>
      <w:szCs w:val="16"/>
    </w:rPr>
  </w:style>
  <w:style w:type="paragraph" w:styleId="CommentText">
    <w:name w:val="annotation text"/>
    <w:basedOn w:val="Normal"/>
    <w:link w:val="CommentTextChar"/>
    <w:uiPriority w:val="99"/>
    <w:unhideWhenUsed/>
    <w:rsid w:val="00111FEC"/>
    <w:pPr>
      <w:spacing w:line="240" w:lineRule="auto"/>
    </w:pPr>
    <w:rPr>
      <w:sz w:val="20"/>
      <w:szCs w:val="20"/>
    </w:rPr>
  </w:style>
  <w:style w:type="character" w:customStyle="1" w:styleId="CommentTextChar">
    <w:name w:val="Comment Text Char"/>
    <w:basedOn w:val="DefaultParagraphFont"/>
    <w:link w:val="CommentText"/>
    <w:uiPriority w:val="99"/>
    <w:rsid w:val="00111FEC"/>
    <w:rPr>
      <w:sz w:val="20"/>
      <w:szCs w:val="20"/>
    </w:rPr>
  </w:style>
  <w:style w:type="paragraph" w:styleId="CommentSubject">
    <w:name w:val="annotation subject"/>
    <w:basedOn w:val="CommentText"/>
    <w:next w:val="CommentText"/>
    <w:link w:val="CommentSubjectChar"/>
    <w:uiPriority w:val="99"/>
    <w:semiHidden/>
    <w:unhideWhenUsed/>
    <w:rsid w:val="00111FEC"/>
    <w:rPr>
      <w:b/>
      <w:bCs/>
    </w:rPr>
  </w:style>
  <w:style w:type="character" w:customStyle="1" w:styleId="CommentSubjectChar">
    <w:name w:val="Comment Subject Char"/>
    <w:basedOn w:val="CommentTextChar"/>
    <w:link w:val="CommentSubject"/>
    <w:uiPriority w:val="99"/>
    <w:semiHidden/>
    <w:rsid w:val="00111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5839">
      <w:bodyDiv w:val="1"/>
      <w:marLeft w:val="0"/>
      <w:marRight w:val="0"/>
      <w:marTop w:val="0"/>
      <w:marBottom w:val="0"/>
      <w:divBdr>
        <w:top w:val="none" w:sz="0" w:space="0" w:color="auto"/>
        <w:left w:val="none" w:sz="0" w:space="0" w:color="auto"/>
        <w:bottom w:val="none" w:sz="0" w:space="0" w:color="auto"/>
        <w:right w:val="none" w:sz="0" w:space="0" w:color="auto"/>
      </w:divBdr>
    </w:div>
    <w:div w:id="327094460">
      <w:bodyDiv w:val="1"/>
      <w:marLeft w:val="0"/>
      <w:marRight w:val="0"/>
      <w:marTop w:val="0"/>
      <w:marBottom w:val="0"/>
      <w:divBdr>
        <w:top w:val="none" w:sz="0" w:space="0" w:color="auto"/>
        <w:left w:val="none" w:sz="0" w:space="0" w:color="auto"/>
        <w:bottom w:val="none" w:sz="0" w:space="0" w:color="auto"/>
        <w:right w:val="none" w:sz="0" w:space="0" w:color="auto"/>
      </w:divBdr>
    </w:div>
    <w:div w:id="396822379">
      <w:bodyDiv w:val="1"/>
      <w:marLeft w:val="0"/>
      <w:marRight w:val="0"/>
      <w:marTop w:val="0"/>
      <w:marBottom w:val="0"/>
      <w:divBdr>
        <w:top w:val="none" w:sz="0" w:space="0" w:color="auto"/>
        <w:left w:val="none" w:sz="0" w:space="0" w:color="auto"/>
        <w:bottom w:val="none" w:sz="0" w:space="0" w:color="auto"/>
        <w:right w:val="none" w:sz="0" w:space="0" w:color="auto"/>
      </w:divBdr>
    </w:div>
    <w:div w:id="549272356">
      <w:bodyDiv w:val="1"/>
      <w:marLeft w:val="0"/>
      <w:marRight w:val="0"/>
      <w:marTop w:val="0"/>
      <w:marBottom w:val="0"/>
      <w:divBdr>
        <w:top w:val="none" w:sz="0" w:space="0" w:color="auto"/>
        <w:left w:val="none" w:sz="0" w:space="0" w:color="auto"/>
        <w:bottom w:val="none" w:sz="0" w:space="0" w:color="auto"/>
        <w:right w:val="none" w:sz="0" w:space="0" w:color="auto"/>
      </w:divBdr>
    </w:div>
    <w:div w:id="64959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{255346CE-DFB3-4400-9233-68B13304CCC9}</b:Guid>
    <b:RefOrder>1</b:RefOrder>
  </b:Source>
</b:Sources>
</file>

<file path=customXml/itemProps1.xml><?xml version="1.0" encoding="utf-8"?>
<ds:datastoreItem xmlns:ds="http://schemas.openxmlformats.org/officeDocument/2006/customXml" ds:itemID="{7C4F3365-174D-4DA3-8018-B336153A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Emmanuel Swigo</dc:creator>
  <cp:keywords/>
  <dc:description/>
  <cp:lastModifiedBy>Rajabu Yasini Msumule</cp:lastModifiedBy>
  <cp:revision>9</cp:revision>
  <cp:lastPrinted>2023-10-27T14:57:00Z</cp:lastPrinted>
  <dcterms:created xsi:type="dcterms:W3CDTF">2025-08-07T05:07:00Z</dcterms:created>
  <dcterms:modified xsi:type="dcterms:W3CDTF">2025-08-07T11:38:00Z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91ca41493adc2c70df26bfa6f04d07e6e43895178d2736441b03d62bb45151da</vt:lpwstr>
  </property>
</Properties>
</file>